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1B33" w14:textId="77777777" w:rsidR="00716132" w:rsidRPr="00B7333D" w:rsidRDefault="00716132" w:rsidP="00716132">
      <w:pPr>
        <w:rPr>
          <w:rFonts w:ascii="Skeena" w:hAnsi="Skeena"/>
          <w:b/>
          <w:sz w:val="28"/>
          <w:szCs w:val="28"/>
        </w:rPr>
      </w:pPr>
      <w:r w:rsidRPr="00B7333D">
        <w:rPr>
          <w:rFonts w:ascii="Skeena" w:hAnsi="Skeena"/>
          <w:b/>
          <w:sz w:val="28"/>
          <w:szCs w:val="28"/>
        </w:rPr>
        <w:t xml:space="preserve">The FTSE 100 takes its turn for a relatively disappointing </w:t>
      </w:r>
      <w:proofErr w:type="gramStart"/>
      <w:r w:rsidRPr="00B7333D">
        <w:rPr>
          <w:rFonts w:ascii="Skeena" w:hAnsi="Skeena"/>
          <w:b/>
          <w:sz w:val="28"/>
          <w:szCs w:val="28"/>
        </w:rPr>
        <w:t>year</w:t>
      </w:r>
      <w:proofErr w:type="gramEnd"/>
    </w:p>
    <w:p w14:paraId="43BB45E0" w14:textId="77777777" w:rsidR="00716132" w:rsidRPr="00B7333D" w:rsidRDefault="00716132" w:rsidP="00716132">
      <w:pPr>
        <w:rPr>
          <w:rFonts w:ascii="Skeena" w:hAnsi="Skeena"/>
        </w:rPr>
      </w:pPr>
      <w:r w:rsidRPr="00B7333D">
        <w:rPr>
          <w:rFonts w:ascii="Skeena" w:hAnsi="Skeena"/>
        </w:rPr>
        <w:t>Synopsis: The FTSE 100, which ended the year up 3.8%, significantly lagging most developed market indices.</w:t>
      </w:r>
    </w:p>
    <w:p w14:paraId="02746DC2" w14:textId="7724D44B" w:rsidR="00716132" w:rsidRPr="00E816CB" w:rsidRDefault="00716132" w:rsidP="00716132">
      <w:pPr>
        <w:rPr>
          <w:rFonts w:ascii="Skeena" w:hAnsi="Skeena"/>
        </w:rPr>
      </w:pPr>
      <w:r w:rsidRPr="00E816CB">
        <w:rPr>
          <w:rFonts w:ascii="Skeena" w:hAnsi="Skeena"/>
        </w:rPr>
        <w:t>Date p</w:t>
      </w:r>
      <w:r w:rsidR="00B7333D" w:rsidRPr="00E816CB">
        <w:rPr>
          <w:rFonts w:ascii="Skeena" w:hAnsi="Skeena"/>
        </w:rPr>
        <w:t>ublished</w:t>
      </w:r>
      <w:r w:rsidRPr="00E816CB">
        <w:rPr>
          <w:rFonts w:ascii="Skeena" w:hAnsi="Skeena"/>
        </w:rPr>
        <w:t xml:space="preserve">: </w:t>
      </w:r>
      <w:proofErr w:type="gramStart"/>
      <w:r w:rsidR="00B7333D" w:rsidRPr="00E816CB">
        <w:rPr>
          <w:rFonts w:ascii="Skeena" w:hAnsi="Skeena"/>
        </w:rPr>
        <w:t>0</w:t>
      </w:r>
      <w:r w:rsidRPr="00E816CB">
        <w:rPr>
          <w:rFonts w:ascii="Skeena" w:hAnsi="Skeena"/>
        </w:rPr>
        <w:t>3.</w:t>
      </w:r>
      <w:r w:rsidR="00B7333D" w:rsidRPr="00E816CB">
        <w:rPr>
          <w:rFonts w:ascii="Skeena" w:hAnsi="Skeena"/>
        </w:rPr>
        <w:t>0</w:t>
      </w:r>
      <w:r w:rsidRPr="00E816CB">
        <w:rPr>
          <w:rFonts w:ascii="Skeena" w:hAnsi="Skeena"/>
        </w:rPr>
        <w:t>1.</w:t>
      </w:r>
      <w:r w:rsidR="00B7333D" w:rsidRPr="00E816CB">
        <w:rPr>
          <w:rFonts w:ascii="Skeena" w:hAnsi="Skeena"/>
        </w:rPr>
        <w:t>20</w:t>
      </w:r>
      <w:r w:rsidRPr="00E816CB">
        <w:rPr>
          <w:rFonts w:ascii="Skeena" w:hAnsi="Skeena"/>
        </w:rPr>
        <w:t>24</w:t>
      </w:r>
      <w:proofErr w:type="gramEnd"/>
    </w:p>
    <w:tbl>
      <w:tblPr>
        <w:tblW w:w="7222" w:type="dxa"/>
        <w:tblInd w:w="53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27"/>
        <w:gridCol w:w="1560"/>
        <w:gridCol w:w="1559"/>
        <w:gridCol w:w="1276"/>
      </w:tblGrid>
      <w:tr w:rsidR="00B7333D" w:rsidRPr="00B7333D" w14:paraId="3C25E36A"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7A3549D"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 </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5FF1DA29" w14:textId="77777777" w:rsidR="00716132" w:rsidRPr="00B7333D" w:rsidRDefault="00716132">
            <w:pPr>
              <w:spacing w:after="0"/>
              <w:jc w:val="center"/>
              <w:rPr>
                <w:rFonts w:ascii="Skeena" w:hAnsi="Skeena" w:cs="Arial"/>
                <w:sz w:val="20"/>
                <w:szCs w:val="20"/>
              </w:rPr>
            </w:pPr>
            <w:r w:rsidRPr="00B7333D">
              <w:rPr>
                <w:rFonts w:ascii="Skeena" w:hAnsi="Skeena" w:cs="Arial"/>
                <w:b/>
                <w:bCs/>
                <w:sz w:val="20"/>
                <w:szCs w:val="20"/>
              </w:rPr>
              <w:t>30/12/2022</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5C4B408B" w14:textId="77777777" w:rsidR="00716132" w:rsidRPr="00B7333D" w:rsidRDefault="00716132">
            <w:pPr>
              <w:spacing w:after="0"/>
              <w:jc w:val="center"/>
              <w:rPr>
                <w:rFonts w:ascii="Skeena" w:hAnsi="Skeena" w:cs="Arial"/>
                <w:sz w:val="20"/>
                <w:szCs w:val="20"/>
              </w:rPr>
            </w:pPr>
            <w:r w:rsidRPr="00B7333D">
              <w:rPr>
                <w:rFonts w:ascii="Skeena" w:hAnsi="Skeena" w:cs="Arial"/>
                <w:b/>
                <w:bCs/>
                <w:sz w:val="20"/>
                <w:szCs w:val="20"/>
              </w:rPr>
              <w:t>29/12/2023</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DF7F2AE" w14:textId="77777777" w:rsidR="00716132" w:rsidRPr="00B7333D" w:rsidRDefault="00716132">
            <w:pPr>
              <w:spacing w:after="0"/>
              <w:jc w:val="center"/>
              <w:rPr>
                <w:rFonts w:ascii="Skeena" w:hAnsi="Skeena" w:cs="Arial"/>
                <w:sz w:val="20"/>
                <w:szCs w:val="20"/>
              </w:rPr>
            </w:pPr>
            <w:r w:rsidRPr="00B7333D">
              <w:rPr>
                <w:rFonts w:ascii="Skeena" w:hAnsi="Skeena" w:cs="Arial"/>
                <w:b/>
                <w:bCs/>
                <w:sz w:val="20"/>
                <w:szCs w:val="20"/>
              </w:rPr>
              <w:t>Change in 2023</w:t>
            </w:r>
          </w:p>
        </w:tc>
      </w:tr>
      <w:tr w:rsidR="00B7333D" w:rsidRPr="00B7333D" w14:paraId="7810B799"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4922A0F"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FTSE 100</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46643F0A"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7451.74</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0ED34850"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7733.24</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A89EB32"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3.78%</w:t>
            </w:r>
          </w:p>
        </w:tc>
      </w:tr>
      <w:tr w:rsidR="00B7333D" w:rsidRPr="00B7333D" w14:paraId="38B89454"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4607200"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FTSE 250</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730248EE"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18853.00</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39B4D7F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19689.63</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9CEAC65"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4.44%</w:t>
            </w:r>
          </w:p>
        </w:tc>
      </w:tr>
      <w:tr w:rsidR="00B7333D" w:rsidRPr="00B7333D" w14:paraId="394D4112"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C1F3B1A"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FTSE 350 Higher Yield</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752B0D17"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3555.19</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0FA2117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3606.84</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7858BB3"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1.45%</w:t>
            </w:r>
          </w:p>
        </w:tc>
      </w:tr>
      <w:tr w:rsidR="00B7333D" w:rsidRPr="00B7333D" w14:paraId="4DF49033"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3C630B8"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FTSE 350 Lower Yield</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4547F33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4249.48</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744B3051"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4521.44</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389865F"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6.40%</w:t>
            </w:r>
          </w:p>
        </w:tc>
      </w:tr>
      <w:tr w:rsidR="00B7333D" w:rsidRPr="00B7333D" w14:paraId="424DED71"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A4CDC61"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FTSE All-Share</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31AF45A3"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4075.13</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2C0F543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4232.01</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31F495A"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3.85%</w:t>
            </w:r>
          </w:p>
        </w:tc>
      </w:tr>
      <w:tr w:rsidR="00B7333D" w:rsidRPr="00B7333D" w14:paraId="043F457B"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29AE988"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S&amp;P 500</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4BFDEC4F"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3822.23</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675F6DB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4769.83</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301B9B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24.79%</w:t>
            </w:r>
          </w:p>
        </w:tc>
      </w:tr>
      <w:tr w:rsidR="00B7333D" w:rsidRPr="00B7333D" w14:paraId="573D7992"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A592D8B"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Euro Stoxx 50 (€)</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1A34E745"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3793.62</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7A98F743"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4521.65</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952C431"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19.19%</w:t>
            </w:r>
          </w:p>
        </w:tc>
      </w:tr>
      <w:tr w:rsidR="00B7333D" w:rsidRPr="00B7333D" w14:paraId="19D76CD7"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6C6DB3D9"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Nikkei 225</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4799758E"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26094.5</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653FADD0"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33390</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6FBED9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27.96%</w:t>
            </w:r>
          </w:p>
        </w:tc>
      </w:tr>
      <w:tr w:rsidR="00B7333D" w:rsidRPr="00B7333D" w14:paraId="765D398C"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8772E8C"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Shanghai Composite</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0F41A4C7"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3089.26</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645B19C4"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2974.93</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5F86C3E"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-3.70%</w:t>
            </w:r>
          </w:p>
        </w:tc>
      </w:tr>
      <w:tr w:rsidR="00B7333D" w:rsidRPr="00B7333D" w14:paraId="10237F76"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175A472"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MSCI Em Markets (£)</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49329B88"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1487.567</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35857C76"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1502.535</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D047C5A"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1.01%</w:t>
            </w:r>
          </w:p>
        </w:tc>
      </w:tr>
      <w:tr w:rsidR="00B7333D" w:rsidRPr="00B7333D" w14:paraId="36C9ABB9"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CDD8186"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UK Bank (Base) rate</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18BEB93D"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3.50%</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67D51E8B"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5.25%</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6019BFA" w14:textId="77777777" w:rsidR="00716132" w:rsidRPr="00B7333D" w:rsidRDefault="00716132">
            <w:pPr>
              <w:rPr>
                <w:rFonts w:ascii="Skeena" w:hAnsi="Skeena" w:cs="Arial"/>
                <w:sz w:val="20"/>
                <w:szCs w:val="20"/>
              </w:rPr>
            </w:pPr>
          </w:p>
        </w:tc>
      </w:tr>
      <w:tr w:rsidR="00B7333D" w:rsidRPr="00B7333D" w14:paraId="7A02A80C"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1CDB33E"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US Fed funds rate</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7B6245F5"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4.25%-4.50%</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0422D2B3"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5.25%-5.50%</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6F9D8E5" w14:textId="77777777" w:rsidR="00716132" w:rsidRPr="00B7333D" w:rsidRDefault="00716132">
            <w:pPr>
              <w:rPr>
                <w:rFonts w:ascii="Skeena" w:hAnsi="Skeena" w:cs="Arial"/>
                <w:sz w:val="20"/>
                <w:szCs w:val="20"/>
              </w:rPr>
            </w:pPr>
          </w:p>
        </w:tc>
      </w:tr>
      <w:tr w:rsidR="00B7333D" w:rsidRPr="00B7333D" w14:paraId="0F069659"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2F5D2EA"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ECB refinance rate</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3BA92CE8"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2.50%</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642C8836"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4.50%</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B7267D8" w14:textId="77777777" w:rsidR="00716132" w:rsidRPr="00B7333D" w:rsidRDefault="00716132">
            <w:pPr>
              <w:rPr>
                <w:rFonts w:ascii="Skeena" w:hAnsi="Skeena" w:cs="Arial"/>
                <w:sz w:val="20"/>
                <w:szCs w:val="20"/>
              </w:rPr>
            </w:pPr>
          </w:p>
        </w:tc>
      </w:tr>
      <w:tr w:rsidR="00B7333D" w:rsidRPr="00B7333D" w14:paraId="4805F254"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AC295BF"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Two-</w:t>
            </w:r>
            <w:proofErr w:type="spellStart"/>
            <w:r w:rsidRPr="00B7333D">
              <w:rPr>
                <w:rFonts w:ascii="Skeena" w:hAnsi="Skeena" w:cs="Arial"/>
                <w:b/>
                <w:bCs/>
                <w:sz w:val="20"/>
                <w:szCs w:val="20"/>
              </w:rPr>
              <w:t>yr</w:t>
            </w:r>
            <w:proofErr w:type="spellEnd"/>
            <w:r w:rsidRPr="00B7333D">
              <w:rPr>
                <w:rFonts w:ascii="Skeena" w:hAnsi="Skeena" w:cs="Arial"/>
                <w:b/>
                <w:bCs/>
                <w:sz w:val="20"/>
                <w:szCs w:val="20"/>
              </w:rPr>
              <w:t xml:space="preserve"> UK Gilt Yield</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65F789D1"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3.58%</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646EF110"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4.00%</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F22E05C" w14:textId="77777777" w:rsidR="00716132" w:rsidRPr="00B7333D" w:rsidRDefault="00716132">
            <w:pPr>
              <w:rPr>
                <w:rFonts w:ascii="Skeena" w:hAnsi="Skeena" w:cs="Arial"/>
                <w:sz w:val="20"/>
                <w:szCs w:val="20"/>
              </w:rPr>
            </w:pPr>
          </w:p>
        </w:tc>
      </w:tr>
      <w:tr w:rsidR="00B7333D" w:rsidRPr="00B7333D" w14:paraId="45951D2D"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72E503E"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Ten-</w:t>
            </w:r>
            <w:proofErr w:type="spellStart"/>
            <w:r w:rsidRPr="00B7333D">
              <w:rPr>
                <w:rFonts w:ascii="Skeena" w:hAnsi="Skeena" w:cs="Arial"/>
                <w:b/>
                <w:bCs/>
                <w:sz w:val="20"/>
                <w:szCs w:val="20"/>
              </w:rPr>
              <w:t>yr</w:t>
            </w:r>
            <w:proofErr w:type="spellEnd"/>
            <w:r w:rsidRPr="00B7333D">
              <w:rPr>
                <w:rFonts w:ascii="Skeena" w:hAnsi="Skeena" w:cs="Arial"/>
                <w:b/>
                <w:bCs/>
                <w:sz w:val="20"/>
                <w:szCs w:val="20"/>
              </w:rPr>
              <w:t xml:space="preserve"> UK Gilt Yield</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36C91831"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3.70%</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5BB1D615"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3.56%</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06ECC01" w14:textId="77777777" w:rsidR="00716132" w:rsidRPr="00B7333D" w:rsidRDefault="00716132">
            <w:pPr>
              <w:rPr>
                <w:rFonts w:ascii="Skeena" w:hAnsi="Skeena" w:cs="Arial"/>
                <w:sz w:val="20"/>
                <w:szCs w:val="20"/>
              </w:rPr>
            </w:pPr>
          </w:p>
        </w:tc>
      </w:tr>
      <w:tr w:rsidR="00B7333D" w:rsidRPr="00B7333D" w14:paraId="55A6A6EE"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48D26E3"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Two-</w:t>
            </w:r>
            <w:proofErr w:type="spellStart"/>
            <w:r w:rsidRPr="00B7333D">
              <w:rPr>
                <w:rFonts w:ascii="Skeena" w:hAnsi="Skeena" w:cs="Arial"/>
                <w:b/>
                <w:bCs/>
                <w:sz w:val="20"/>
                <w:szCs w:val="20"/>
              </w:rPr>
              <w:t>yr</w:t>
            </w:r>
            <w:proofErr w:type="spellEnd"/>
            <w:r w:rsidRPr="00B7333D">
              <w:rPr>
                <w:rFonts w:ascii="Skeena" w:hAnsi="Skeena" w:cs="Arial"/>
                <w:b/>
                <w:bCs/>
                <w:sz w:val="20"/>
                <w:szCs w:val="20"/>
              </w:rPr>
              <w:t xml:space="preserve"> US T-Bond Yield</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36197648"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4.43%</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09DB7B41"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4.25%</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41430F3" w14:textId="77777777" w:rsidR="00716132" w:rsidRPr="00B7333D" w:rsidRDefault="00716132">
            <w:pPr>
              <w:rPr>
                <w:rFonts w:ascii="Skeena" w:hAnsi="Skeena" w:cs="Arial"/>
                <w:sz w:val="20"/>
                <w:szCs w:val="20"/>
              </w:rPr>
            </w:pPr>
          </w:p>
        </w:tc>
      </w:tr>
      <w:tr w:rsidR="00B7333D" w:rsidRPr="00B7333D" w14:paraId="47532723"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55ECB54"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Ten-</w:t>
            </w:r>
            <w:proofErr w:type="spellStart"/>
            <w:r w:rsidRPr="00B7333D">
              <w:rPr>
                <w:rFonts w:ascii="Skeena" w:hAnsi="Skeena" w:cs="Arial"/>
                <w:b/>
                <w:bCs/>
                <w:sz w:val="20"/>
                <w:szCs w:val="20"/>
              </w:rPr>
              <w:t>yr</w:t>
            </w:r>
            <w:proofErr w:type="spellEnd"/>
            <w:r w:rsidRPr="00B7333D">
              <w:rPr>
                <w:rFonts w:ascii="Skeena" w:hAnsi="Skeena" w:cs="Arial"/>
                <w:b/>
                <w:bCs/>
                <w:sz w:val="20"/>
                <w:szCs w:val="20"/>
              </w:rPr>
              <w:t xml:space="preserve"> US T-Bond Yield</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50AB51A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3.88%</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57690C93"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3.87%</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4143C1D" w14:textId="77777777" w:rsidR="00716132" w:rsidRPr="00B7333D" w:rsidRDefault="00716132">
            <w:pPr>
              <w:rPr>
                <w:rFonts w:ascii="Skeena" w:hAnsi="Skeena" w:cs="Arial"/>
                <w:sz w:val="20"/>
                <w:szCs w:val="20"/>
              </w:rPr>
            </w:pPr>
          </w:p>
        </w:tc>
      </w:tr>
      <w:tr w:rsidR="00B7333D" w:rsidRPr="00B7333D" w14:paraId="7D2EF859"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C113444"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Two-</w:t>
            </w:r>
            <w:proofErr w:type="spellStart"/>
            <w:r w:rsidRPr="00B7333D">
              <w:rPr>
                <w:rFonts w:ascii="Skeena" w:hAnsi="Skeena" w:cs="Arial"/>
                <w:b/>
                <w:bCs/>
                <w:sz w:val="20"/>
                <w:szCs w:val="20"/>
              </w:rPr>
              <w:t>yr</w:t>
            </w:r>
            <w:proofErr w:type="spellEnd"/>
            <w:r w:rsidRPr="00B7333D">
              <w:rPr>
                <w:rFonts w:ascii="Skeena" w:hAnsi="Skeena" w:cs="Arial"/>
                <w:b/>
                <w:bCs/>
                <w:sz w:val="20"/>
                <w:szCs w:val="20"/>
              </w:rPr>
              <w:t xml:space="preserve"> German Bund Yield</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1B0F0AA5"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2.74%</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2B180BA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2.39%</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4849402" w14:textId="77777777" w:rsidR="00716132" w:rsidRPr="00B7333D" w:rsidRDefault="00716132">
            <w:pPr>
              <w:rPr>
                <w:rFonts w:ascii="Skeena" w:hAnsi="Skeena" w:cs="Arial"/>
                <w:sz w:val="20"/>
                <w:szCs w:val="20"/>
              </w:rPr>
            </w:pPr>
          </w:p>
        </w:tc>
      </w:tr>
      <w:tr w:rsidR="00B7333D" w:rsidRPr="00B7333D" w14:paraId="05B45083"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DFA768E"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lastRenderedPageBreak/>
              <w:t>Ten-</w:t>
            </w:r>
            <w:proofErr w:type="spellStart"/>
            <w:r w:rsidRPr="00B7333D">
              <w:rPr>
                <w:rFonts w:ascii="Skeena" w:hAnsi="Skeena" w:cs="Arial"/>
                <w:b/>
                <w:bCs/>
                <w:sz w:val="20"/>
                <w:szCs w:val="20"/>
              </w:rPr>
              <w:t>yr</w:t>
            </w:r>
            <w:proofErr w:type="spellEnd"/>
            <w:r w:rsidRPr="00B7333D">
              <w:rPr>
                <w:rFonts w:ascii="Skeena" w:hAnsi="Skeena" w:cs="Arial"/>
                <w:b/>
                <w:bCs/>
                <w:sz w:val="20"/>
                <w:szCs w:val="20"/>
              </w:rPr>
              <w:t xml:space="preserve"> German Bund Yield</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5CA2E1C0"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2.56%</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6FBB7D7B"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2.02%</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6C9C5C2" w14:textId="77777777" w:rsidR="00716132" w:rsidRPr="00B7333D" w:rsidRDefault="00716132">
            <w:pPr>
              <w:rPr>
                <w:rFonts w:ascii="Skeena" w:hAnsi="Skeena" w:cs="Arial"/>
                <w:sz w:val="20"/>
                <w:szCs w:val="20"/>
              </w:rPr>
            </w:pPr>
          </w:p>
        </w:tc>
      </w:tr>
      <w:tr w:rsidR="00B7333D" w:rsidRPr="00B7333D" w14:paraId="3EEF94D5"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71816B6F"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0D0363D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1.2029</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561A9D00"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1.2748</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605FE09"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5.98%</w:t>
            </w:r>
          </w:p>
        </w:tc>
      </w:tr>
      <w:tr w:rsidR="00B7333D" w:rsidRPr="00B7333D" w14:paraId="0ED45750"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82D88FF"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55ED5B67"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1.1271</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0DD8642D"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1.154</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4187B916"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2.39%</w:t>
            </w:r>
          </w:p>
        </w:tc>
      </w:tr>
      <w:tr w:rsidR="00B7333D" w:rsidRPr="00B7333D" w14:paraId="151AA7E5"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3265522"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709CAE40"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158.7175</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45D5B03C"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179.7026</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1D6B641"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13.22%</w:t>
            </w:r>
          </w:p>
        </w:tc>
      </w:tr>
      <w:tr w:rsidR="00B7333D" w:rsidRPr="00B7333D" w14:paraId="1CE1D355"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AA7AC39"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Brent Crude ($)</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4D86CABE"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84.27</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471CB22A"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77.1</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2EBD89D"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-8.51%</w:t>
            </w:r>
          </w:p>
        </w:tc>
      </w:tr>
      <w:tr w:rsidR="00B7333D" w:rsidRPr="00B7333D" w14:paraId="5066E54D"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E75249F"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Gold ($)</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0F0A98D8"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1813.75</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249648F9"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2078.4</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347A3C45"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14.59%</w:t>
            </w:r>
          </w:p>
        </w:tc>
      </w:tr>
      <w:tr w:rsidR="00B7333D" w:rsidRPr="00B7333D" w14:paraId="264A2442"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1677AAB2"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Iron Ore ($)</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07DC1B7A"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115.11</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2216BC43"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136.16</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5D411EDE"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18.29%</w:t>
            </w:r>
          </w:p>
        </w:tc>
      </w:tr>
      <w:tr w:rsidR="00B7333D" w:rsidRPr="00B7333D" w14:paraId="5E82B922" w14:textId="77777777" w:rsidTr="00716132">
        <w:trPr>
          <w:trHeight w:val="340"/>
        </w:trPr>
        <w:tc>
          <w:tcPr>
            <w:tcW w:w="282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055DCA40" w14:textId="77777777" w:rsidR="00716132" w:rsidRPr="00B7333D" w:rsidRDefault="00716132">
            <w:pPr>
              <w:spacing w:after="0"/>
              <w:rPr>
                <w:rFonts w:ascii="Skeena" w:hAnsi="Skeena" w:cs="Arial"/>
                <w:sz w:val="20"/>
                <w:szCs w:val="20"/>
              </w:rPr>
            </w:pPr>
            <w:r w:rsidRPr="00B7333D">
              <w:rPr>
                <w:rFonts w:ascii="Skeena" w:hAnsi="Skeena" w:cs="Arial"/>
                <w:b/>
                <w:bCs/>
                <w:sz w:val="20"/>
                <w:szCs w:val="20"/>
              </w:rPr>
              <w:t>Copper ($)</w:t>
            </w:r>
          </w:p>
        </w:tc>
        <w:tc>
          <w:tcPr>
            <w:tcW w:w="1560"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7A24BDA8"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8397.5</w:t>
            </w:r>
          </w:p>
        </w:tc>
        <w:tc>
          <w:tcPr>
            <w:tcW w:w="1559" w:type="dxa"/>
            <w:tcBorders>
              <w:top w:val="single" w:sz="6" w:space="0" w:color="DDDDDD"/>
              <w:left w:val="single" w:sz="6" w:space="0" w:color="DDDDDD"/>
              <w:bottom w:val="single" w:sz="6" w:space="0" w:color="DDDDDD"/>
              <w:right w:val="single" w:sz="6" w:space="0" w:color="DDDDDD"/>
            </w:tcBorders>
            <w:noWrap/>
            <w:tcMar>
              <w:top w:w="120" w:type="dxa"/>
              <w:left w:w="120" w:type="dxa"/>
              <w:bottom w:w="120" w:type="dxa"/>
              <w:right w:w="120" w:type="dxa"/>
            </w:tcMar>
            <w:hideMark/>
          </w:tcPr>
          <w:p w14:paraId="6E8CD003"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8562.5</w:t>
            </w:r>
          </w:p>
        </w:tc>
        <w:tc>
          <w:tcPr>
            <w:tcW w:w="1276"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hideMark/>
          </w:tcPr>
          <w:p w14:paraId="2B14F834" w14:textId="77777777" w:rsidR="00716132" w:rsidRPr="00B7333D" w:rsidRDefault="00716132">
            <w:pPr>
              <w:spacing w:after="0"/>
              <w:jc w:val="center"/>
              <w:rPr>
                <w:rFonts w:ascii="Skeena" w:hAnsi="Skeena" w:cs="Arial"/>
                <w:sz w:val="20"/>
                <w:szCs w:val="20"/>
              </w:rPr>
            </w:pPr>
            <w:r w:rsidRPr="00B7333D">
              <w:rPr>
                <w:rFonts w:ascii="Skeena" w:hAnsi="Skeena" w:cs="Arial"/>
                <w:sz w:val="20"/>
                <w:szCs w:val="20"/>
              </w:rPr>
              <w:t>1.96%</w:t>
            </w:r>
          </w:p>
        </w:tc>
      </w:tr>
    </w:tbl>
    <w:p w14:paraId="5921EFF2" w14:textId="77777777" w:rsidR="00716132" w:rsidRPr="00B7333D" w:rsidRDefault="00716132" w:rsidP="00126965">
      <w:pPr>
        <w:spacing w:before="120"/>
        <w:rPr>
          <w:rFonts w:ascii="Skeena" w:hAnsi="Skeena"/>
        </w:rPr>
      </w:pPr>
      <w:r w:rsidRPr="00B7333D">
        <w:rPr>
          <w:rFonts w:ascii="Skeena" w:hAnsi="Skeena"/>
        </w:rPr>
        <w:t xml:space="preserve">In 2022, the FTSE 100 ended the year up just 0.9%. That it was in positive territory was an achievement, given the year that the UK had experienced – three Prime Ministers, four Chancellors, the mini-Budget, etc. The outturn was </w:t>
      </w:r>
      <w:proofErr w:type="gramStart"/>
      <w:r w:rsidRPr="00B7333D">
        <w:rPr>
          <w:rFonts w:ascii="Skeena" w:hAnsi="Skeena"/>
        </w:rPr>
        <w:t>all the more</w:t>
      </w:r>
      <w:proofErr w:type="gramEnd"/>
      <w:r w:rsidRPr="00B7333D">
        <w:rPr>
          <w:rFonts w:ascii="Skeena" w:hAnsi="Skeena"/>
        </w:rPr>
        <w:t xml:space="preserve"> remarkable because it meant the UK market beat the USA, Eurozone, Japan and China. In 2023, the picture almost flipped with the UK well adrift of the USA, </w:t>
      </w:r>
      <w:proofErr w:type="gramStart"/>
      <w:r w:rsidRPr="00B7333D">
        <w:rPr>
          <w:rFonts w:ascii="Skeena" w:hAnsi="Skeena"/>
        </w:rPr>
        <w:t>Eurozone</w:t>
      </w:r>
      <w:proofErr w:type="gramEnd"/>
      <w:r w:rsidRPr="00B7333D">
        <w:rPr>
          <w:rFonts w:ascii="Skeena" w:hAnsi="Skeena"/>
        </w:rPr>
        <w:t xml:space="preserve"> and Japan and only marginally ahead of China. </w:t>
      </w:r>
    </w:p>
    <w:p w14:paraId="05FEF986" w14:textId="77777777" w:rsidR="00716132" w:rsidRPr="00B7333D" w:rsidRDefault="00716132" w:rsidP="00716132">
      <w:pPr>
        <w:rPr>
          <w:rFonts w:ascii="Skeena" w:hAnsi="Skeena"/>
        </w:rPr>
      </w:pPr>
      <w:r w:rsidRPr="00B7333D">
        <w:rPr>
          <w:rFonts w:ascii="Skeena" w:hAnsi="Skeena"/>
        </w:rPr>
        <w:t xml:space="preserve">Looking at some more </w:t>
      </w:r>
      <w:proofErr w:type="gramStart"/>
      <w:r w:rsidRPr="00B7333D">
        <w:rPr>
          <w:rFonts w:ascii="Skeena" w:hAnsi="Skeena"/>
        </w:rPr>
        <w:t>detail..</w:t>
      </w:r>
      <w:proofErr w:type="gramEnd"/>
    </w:p>
    <w:p w14:paraId="21B73EA8" w14:textId="77777777" w:rsidR="00716132" w:rsidRPr="00B7333D" w:rsidRDefault="00716132" w:rsidP="00B7333D">
      <w:pPr>
        <w:numPr>
          <w:ilvl w:val="0"/>
          <w:numId w:val="2"/>
        </w:numPr>
        <w:rPr>
          <w:rFonts w:ascii="Skeena" w:hAnsi="Skeena"/>
        </w:rPr>
      </w:pPr>
      <w:r w:rsidRPr="00B7333D">
        <w:rPr>
          <w:rFonts w:ascii="Skeena" w:hAnsi="Skeena"/>
        </w:rPr>
        <w:t>The UK shows a marginally better return if you look at the FTSE 250 or FTSE All-Share. That can be blamed in part on the Footsie’s having less than half the weighting of the FTSE All-Share in Financial Services, which had a good year.</w:t>
      </w:r>
    </w:p>
    <w:p w14:paraId="0DEB769F" w14:textId="77777777" w:rsidR="00716132" w:rsidRPr="00B7333D" w:rsidRDefault="00716132" w:rsidP="00B7333D">
      <w:pPr>
        <w:numPr>
          <w:ilvl w:val="0"/>
          <w:numId w:val="3"/>
        </w:numPr>
        <w:rPr>
          <w:rFonts w:ascii="Skeena" w:hAnsi="Skeena"/>
        </w:rPr>
      </w:pPr>
      <w:r w:rsidRPr="00B7333D">
        <w:rPr>
          <w:rFonts w:ascii="Skeena" w:hAnsi="Skeena"/>
        </w:rPr>
        <w:t xml:space="preserve">In 2022, the response of commodity prices to the Ukraine war helped the holes-in-the-ground nature of the UK indices come to the fore. However, the Basic Resources </w:t>
      </w:r>
      <w:proofErr w:type="spellStart"/>
      <w:r w:rsidRPr="00B7333D">
        <w:rPr>
          <w:rFonts w:ascii="Skeena" w:hAnsi="Skeena"/>
        </w:rPr>
        <w:t>supersector</w:t>
      </w:r>
      <w:proofErr w:type="spellEnd"/>
      <w:r w:rsidRPr="00B7333D">
        <w:rPr>
          <w:rFonts w:ascii="Skeena" w:hAnsi="Skeena"/>
        </w:rPr>
        <w:t>, which makes up about 8% of the FTSE 100, was down about 13% in 2023.</w:t>
      </w:r>
    </w:p>
    <w:p w14:paraId="1D325F19" w14:textId="77777777" w:rsidR="00716132" w:rsidRPr="00B7333D" w:rsidRDefault="00716132" w:rsidP="00B7333D">
      <w:pPr>
        <w:numPr>
          <w:ilvl w:val="0"/>
          <w:numId w:val="4"/>
        </w:numPr>
        <w:rPr>
          <w:rFonts w:ascii="Skeena" w:hAnsi="Skeena"/>
        </w:rPr>
      </w:pPr>
      <w:r w:rsidRPr="00B7333D">
        <w:rPr>
          <w:rFonts w:ascii="Skeena" w:hAnsi="Skeena"/>
        </w:rPr>
        <w:t xml:space="preserve">This year the FTSE 100’s performance was </w:t>
      </w:r>
      <w:proofErr w:type="gramStart"/>
      <w:r w:rsidRPr="00B7333D">
        <w:rPr>
          <w:rFonts w:ascii="Skeena" w:hAnsi="Skeena"/>
        </w:rPr>
        <w:t>similar to</w:t>
      </w:r>
      <w:proofErr w:type="gramEnd"/>
      <w:r w:rsidRPr="00B7333D">
        <w:rPr>
          <w:rFonts w:ascii="Skeena" w:hAnsi="Skeena"/>
        </w:rPr>
        <w:t xml:space="preserve"> the other main market UK equity indices, with the FTSE Higher Yield being held back by the mining companies (which cut their dividends significantly). Away from the main exchange, the FTSE AIM All-Share had another miserable year, although not as bad as in 2022. This time it posted a drop of 8.2%. Over the two years the decline has been just short of 40%, a reminder that it is not only via business relief that AIM shares can reduce inheritance tax (IHT) liability.  </w:t>
      </w:r>
    </w:p>
    <w:p w14:paraId="19EC1E3F" w14:textId="77777777" w:rsidR="00126965" w:rsidRDefault="00716132" w:rsidP="00B7333D">
      <w:pPr>
        <w:numPr>
          <w:ilvl w:val="0"/>
          <w:numId w:val="5"/>
        </w:numPr>
        <w:rPr>
          <w:rFonts w:ascii="Skeena" w:hAnsi="Skeena"/>
        </w:rPr>
        <w:sectPr w:rsidR="00126965" w:rsidSect="003C5EC4">
          <w:headerReference w:type="default" r:id="rId11"/>
          <w:footerReference w:type="default" r:id="rId12"/>
          <w:pgSz w:w="11899" w:h="16838"/>
          <w:pgMar w:top="1440" w:right="1800" w:bottom="1440" w:left="1800" w:header="708" w:footer="57" w:gutter="0"/>
          <w:cols w:space="708"/>
          <w:docGrid w:linePitch="326"/>
        </w:sectPr>
      </w:pPr>
      <w:r w:rsidRPr="00B7333D">
        <w:rPr>
          <w:rFonts w:ascii="Skeena" w:hAnsi="Skeena"/>
        </w:rPr>
        <w:t>The FTSE 100 ended 2023 at 2.5% above the level that it started 2020. We remarked at the start of 2023 that a volatile three-year period had ‘seen the index go nowhere’. That now should read ‘volatile four-year period’. Over the same period the S&amp;P 500 is up 47.6%, helped by a rise of almost a quarter in 2023.</w:t>
      </w:r>
    </w:p>
    <w:p w14:paraId="5E1927BC" w14:textId="77777777" w:rsidR="00716132" w:rsidRPr="00B7333D" w:rsidRDefault="00716132" w:rsidP="00B7333D">
      <w:pPr>
        <w:numPr>
          <w:ilvl w:val="0"/>
          <w:numId w:val="6"/>
        </w:numPr>
        <w:rPr>
          <w:rFonts w:ascii="Skeena" w:hAnsi="Skeena"/>
        </w:rPr>
      </w:pPr>
      <w:r w:rsidRPr="00B7333D">
        <w:rPr>
          <w:rFonts w:ascii="Skeena" w:hAnsi="Skeena"/>
        </w:rPr>
        <w:lastRenderedPageBreak/>
        <w:t>The last two years provides a different transatlantic contrast: the FTSE 100 is up 4.7% against a 0.1% fall for the S&amp;P 500. Adjust for currencies (the dollar wins) and dividends (UK wins) and in terms of total returns to a sterling investor, the Footsie is still about 3% ahead.</w:t>
      </w:r>
    </w:p>
    <w:p w14:paraId="06162D2B" w14:textId="77777777" w:rsidR="00716132" w:rsidRPr="00B7333D" w:rsidRDefault="00716132" w:rsidP="00B7333D">
      <w:pPr>
        <w:numPr>
          <w:ilvl w:val="0"/>
          <w:numId w:val="7"/>
        </w:numPr>
        <w:rPr>
          <w:rFonts w:ascii="Skeena" w:hAnsi="Skeena"/>
        </w:rPr>
      </w:pPr>
      <w:r w:rsidRPr="00B7333D">
        <w:rPr>
          <w:rFonts w:ascii="Skeena" w:hAnsi="Skeena"/>
        </w:rPr>
        <w:t>The importance of dividends should not be ignored when looking at the FTSE 100’s flatlining. Last year, the total return on the FTSE 100 was 7.93% and over the four years since the start of the decade the total return figure was 18.4%. The FTSE 100 ended the year with a yield of 3.86%, 0.3% higher than the ten-year gilt yield.</w:t>
      </w:r>
    </w:p>
    <w:p w14:paraId="1BCF843E" w14:textId="77777777" w:rsidR="00716132" w:rsidRPr="00B7333D" w:rsidRDefault="00716132" w:rsidP="00716132">
      <w:pPr>
        <w:rPr>
          <w:rFonts w:ascii="Skeena" w:hAnsi="Skeena"/>
        </w:rPr>
      </w:pPr>
      <w:r w:rsidRPr="00B7333D">
        <w:rPr>
          <w:rFonts w:ascii="Skeena" w:hAnsi="Skeena"/>
        </w:rPr>
        <w:t xml:space="preserve">While the relative performance of the UK equity market looks poor for 2023, it improves slightly when currency is allowed for. The pound had a decent year, rising 6.0% against the US dollar, 2.4% against the Euro, and 13.2% against the Yen, which was held down by a still sub-zero bank rate. </w:t>
      </w:r>
    </w:p>
    <w:p w14:paraId="03110C27" w14:textId="77777777" w:rsidR="00716132" w:rsidRPr="00B7333D" w:rsidRDefault="00716132" w:rsidP="00716132">
      <w:pPr>
        <w:rPr>
          <w:rFonts w:ascii="Skeena" w:hAnsi="Skeena"/>
          <w:b/>
          <w:bCs/>
        </w:rPr>
      </w:pPr>
      <w:r w:rsidRPr="00B7333D">
        <w:rPr>
          <w:rFonts w:ascii="Skeena" w:hAnsi="Skeena"/>
        </w:rPr>
        <w:t>In sterling terms, the </w:t>
      </w:r>
      <w:hyperlink r:id="rId13" w:history="1">
        <w:r w:rsidRPr="00B7333D">
          <w:rPr>
            <w:rStyle w:val="Hyperlink"/>
            <w:rFonts w:ascii="Skeena" w:hAnsi="Skeena"/>
            <w:color w:val="auto"/>
          </w:rPr>
          <w:t>MSCI ACWI</w:t>
        </w:r>
      </w:hyperlink>
      <w:r w:rsidRPr="00B7333D">
        <w:rPr>
          <w:rFonts w:ascii="Skeena" w:hAnsi="Skeena"/>
        </w:rPr>
        <w:t> was up 13.3%, for which Wall Street (now 62.72% of the index after the USA’s strong year) can take a good slice of the credit.</w:t>
      </w:r>
    </w:p>
    <w:p w14:paraId="400BEE8A" w14:textId="77777777" w:rsidR="00716132" w:rsidRPr="00B7333D" w:rsidRDefault="00716132" w:rsidP="00716132">
      <w:pPr>
        <w:rPr>
          <w:rFonts w:ascii="Skeena" w:hAnsi="Skeena"/>
        </w:rPr>
      </w:pPr>
      <w:r w:rsidRPr="00B7333D">
        <w:rPr>
          <w:rFonts w:ascii="Skeena" w:hAnsi="Skeena"/>
          <w:b/>
          <w:bCs/>
        </w:rPr>
        <w:t>Comment</w:t>
      </w:r>
    </w:p>
    <w:p w14:paraId="24CAEAB8" w14:textId="77777777" w:rsidR="00716132" w:rsidRPr="00B7333D" w:rsidRDefault="00716132" w:rsidP="00716132">
      <w:pPr>
        <w:rPr>
          <w:rFonts w:ascii="Skeena" w:hAnsi="Skeena"/>
        </w:rPr>
      </w:pPr>
      <w:r w:rsidRPr="00B7333D">
        <w:rPr>
          <w:rFonts w:ascii="Skeena" w:hAnsi="Skeena"/>
        </w:rPr>
        <w:t>The best performing developed market in 2023 was Italy, which benefited from Georgia Meloni being not as frightening as she first seemed when she became Prime Minister in October 2022. The best performing emerging market by just 0.5%, according to MSCI, was Hungary (with Greece in an honourable second place).</w:t>
      </w:r>
    </w:p>
    <w:p w14:paraId="23912945" w14:textId="77777777" w:rsidR="003555B5" w:rsidRPr="00B7333D" w:rsidRDefault="003555B5" w:rsidP="00022669">
      <w:pPr>
        <w:rPr>
          <w:rFonts w:ascii="Skeena" w:hAnsi="Skeena"/>
        </w:rPr>
      </w:pPr>
    </w:p>
    <w:p w14:paraId="571D9D6E" w14:textId="77777777" w:rsidR="003555B5" w:rsidRPr="00B7333D" w:rsidRDefault="003555B5" w:rsidP="00022669">
      <w:pPr>
        <w:rPr>
          <w:rFonts w:ascii="Skeena" w:hAnsi="Skeena"/>
        </w:rPr>
      </w:pPr>
    </w:p>
    <w:p w14:paraId="34EE37E8" w14:textId="77777777" w:rsidR="003555B5" w:rsidRPr="00B7333D" w:rsidRDefault="003555B5" w:rsidP="00022669">
      <w:pPr>
        <w:rPr>
          <w:rFonts w:ascii="Skeena" w:hAnsi="Skeena"/>
        </w:rPr>
      </w:pPr>
    </w:p>
    <w:p w14:paraId="00347171" w14:textId="77777777" w:rsidR="003555B5" w:rsidRPr="00B7333D" w:rsidRDefault="003555B5" w:rsidP="00022669">
      <w:pPr>
        <w:rPr>
          <w:rFonts w:ascii="Skeena" w:hAnsi="Skeena"/>
        </w:rPr>
      </w:pPr>
    </w:p>
    <w:p w14:paraId="0B599669" w14:textId="77777777" w:rsidR="003555B5" w:rsidRPr="00B7333D" w:rsidRDefault="003555B5" w:rsidP="00022669">
      <w:pPr>
        <w:rPr>
          <w:rFonts w:ascii="Skeena" w:hAnsi="Skeena"/>
        </w:rPr>
      </w:pPr>
    </w:p>
    <w:p w14:paraId="21E59702" w14:textId="77777777" w:rsidR="003555B5" w:rsidRPr="00B7333D" w:rsidRDefault="003555B5" w:rsidP="00022669">
      <w:pPr>
        <w:rPr>
          <w:rFonts w:ascii="Skeena" w:hAnsi="Skeena"/>
        </w:rPr>
      </w:pPr>
    </w:p>
    <w:p w14:paraId="25D6912F" w14:textId="77777777" w:rsidR="003555B5" w:rsidRPr="00B7333D" w:rsidRDefault="003555B5" w:rsidP="00022669">
      <w:pPr>
        <w:rPr>
          <w:rFonts w:ascii="Skeena" w:hAnsi="Skeena"/>
        </w:rPr>
      </w:pPr>
    </w:p>
    <w:p w14:paraId="2D79CCB9" w14:textId="77777777" w:rsidR="003555B5" w:rsidRPr="00B7333D" w:rsidRDefault="003555B5" w:rsidP="00022669">
      <w:pPr>
        <w:rPr>
          <w:rFonts w:ascii="Skeena" w:hAnsi="Skeena"/>
        </w:rPr>
      </w:pPr>
    </w:p>
    <w:p w14:paraId="51150577" w14:textId="77777777" w:rsidR="003555B5" w:rsidRPr="00B7333D" w:rsidRDefault="003555B5" w:rsidP="00022669">
      <w:pPr>
        <w:rPr>
          <w:rFonts w:ascii="Skeena" w:hAnsi="Skeena"/>
        </w:rPr>
      </w:pPr>
    </w:p>
    <w:p w14:paraId="7F9887F8" w14:textId="77777777" w:rsidR="003555B5" w:rsidRPr="00B7333D" w:rsidRDefault="003555B5" w:rsidP="00022669">
      <w:pPr>
        <w:rPr>
          <w:rFonts w:ascii="Skeena" w:hAnsi="Skeena"/>
        </w:rPr>
      </w:pPr>
    </w:p>
    <w:p w14:paraId="011CA0AB" w14:textId="77777777" w:rsidR="007868F2" w:rsidRPr="00B7333D" w:rsidRDefault="007868F2" w:rsidP="007868F2">
      <w:pPr>
        <w:pStyle w:val="BodyText"/>
        <w:spacing w:before="240"/>
        <w:jc w:val="center"/>
        <w:rPr>
          <w:rFonts w:ascii="Skeena" w:hAnsi="Skeena"/>
          <w:b/>
          <w:bCs/>
          <w:spacing w:val="-4"/>
        </w:rPr>
      </w:pPr>
      <w:r w:rsidRPr="00B7333D">
        <w:rPr>
          <w:rFonts w:ascii="Skeena" w:hAnsi="Skeena"/>
          <w:b/>
          <w:bCs/>
        </w:rPr>
        <w:t>020 7183</w:t>
      </w:r>
      <w:r w:rsidRPr="00B7333D">
        <w:rPr>
          <w:rFonts w:ascii="Skeena" w:hAnsi="Skeena"/>
          <w:b/>
          <w:bCs/>
          <w:spacing w:val="-1"/>
        </w:rPr>
        <w:t xml:space="preserve"> </w:t>
      </w:r>
      <w:r w:rsidRPr="00B7333D">
        <w:rPr>
          <w:rFonts w:ascii="Skeena" w:hAnsi="Skeena"/>
          <w:b/>
          <w:bCs/>
          <w:spacing w:val="-4"/>
        </w:rPr>
        <w:t>3931</w:t>
      </w:r>
    </w:p>
    <w:p w14:paraId="0EFE3A7D" w14:textId="5E2C01FE" w:rsidR="0004474E" w:rsidRPr="00B7333D" w:rsidRDefault="00E816CB" w:rsidP="00251FD5">
      <w:pPr>
        <w:pStyle w:val="BodyText"/>
        <w:jc w:val="center"/>
        <w:rPr>
          <w:rFonts w:ascii="Skeena" w:hAnsi="Skeena"/>
        </w:rPr>
      </w:pPr>
      <w:hyperlink r:id="rId14">
        <w:r w:rsidR="007868F2" w:rsidRPr="00B7333D">
          <w:rPr>
            <w:rFonts w:ascii="Skeena" w:hAnsi="Skeena"/>
            <w:b/>
            <w:bCs/>
            <w:spacing w:val="-2"/>
          </w:rPr>
          <w:t>www.riskassured.co.uk</w:t>
        </w:r>
      </w:hyperlink>
    </w:p>
    <w:p w14:paraId="0EF7544F" w14:textId="05E825C3" w:rsidR="0029748E" w:rsidRPr="00B7333D" w:rsidRDefault="0029748E" w:rsidP="0004474E">
      <w:pPr>
        <w:rPr>
          <w:rFonts w:ascii="Skeena" w:hAnsi="Skeena"/>
        </w:rPr>
      </w:pPr>
    </w:p>
    <w:sectPr w:rsidR="0029748E" w:rsidRPr="00B7333D" w:rsidSect="003C5EC4">
      <w:footerReference w:type="default" r:id="rId15"/>
      <w:pgSz w:w="11899" w:h="16838"/>
      <w:pgMar w:top="1440" w:right="1800" w:bottom="1440" w:left="1800" w:header="708"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11A9" w14:textId="77777777" w:rsidR="004D52BD" w:rsidRDefault="004D52BD" w:rsidP="00980EE1">
      <w:pPr>
        <w:spacing w:after="0"/>
      </w:pPr>
      <w:r>
        <w:separator/>
      </w:r>
    </w:p>
  </w:endnote>
  <w:endnote w:type="continuationSeparator" w:id="0">
    <w:p w14:paraId="5371F096" w14:textId="77777777" w:rsidR="004D52BD" w:rsidRDefault="004D52BD" w:rsidP="00980E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Humanist">
    <w:altName w:val="Calibri"/>
    <w:charset w:val="00"/>
    <w:family w:val="swiss"/>
    <w:pitch w:val="default"/>
    <w:sig w:usb0="00000003" w:usb1="00000000" w:usb2="00000000" w:usb3="00000000" w:csb0="00000001" w:csb1="00000000"/>
  </w:font>
  <w:font w:name="Skeena">
    <w:altName w:val="Calibri"/>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F9AC" w14:textId="77777777" w:rsidR="0089120A" w:rsidRPr="009816C4" w:rsidRDefault="0089120A" w:rsidP="00126965">
    <w:pPr>
      <w:pStyle w:val="Footer"/>
      <w:framePr w:wrap="around" w:vAnchor="text" w:hAnchor="margin" w:xAlign="right" w:y="-775"/>
      <w:rPr>
        <w:rStyle w:val="PageNumber"/>
        <w:rFonts w:ascii="Skeena" w:hAnsi="Skeena"/>
        <w:color w:val="1D252C"/>
      </w:rPr>
    </w:pPr>
    <w:r w:rsidRPr="009816C4">
      <w:rPr>
        <w:rStyle w:val="PageNumber"/>
        <w:rFonts w:ascii="Skeena" w:hAnsi="Skeena"/>
        <w:color w:val="1D252C"/>
      </w:rPr>
      <w:fldChar w:fldCharType="begin"/>
    </w:r>
    <w:r w:rsidRPr="009816C4">
      <w:rPr>
        <w:rStyle w:val="PageNumber"/>
        <w:rFonts w:ascii="Skeena" w:hAnsi="Skeena"/>
        <w:color w:val="1D252C"/>
      </w:rPr>
      <w:instrText xml:space="preserve">PAGE  </w:instrText>
    </w:r>
    <w:r w:rsidRPr="009816C4">
      <w:rPr>
        <w:rStyle w:val="PageNumber"/>
        <w:rFonts w:ascii="Skeena" w:hAnsi="Skeena"/>
        <w:color w:val="1D252C"/>
      </w:rPr>
      <w:fldChar w:fldCharType="separate"/>
    </w:r>
    <w:r w:rsidRPr="009816C4">
      <w:rPr>
        <w:rStyle w:val="PageNumber"/>
        <w:rFonts w:ascii="Skeena" w:hAnsi="Skeena"/>
        <w:noProof/>
        <w:color w:val="1D252C"/>
      </w:rPr>
      <w:t>1</w:t>
    </w:r>
    <w:r w:rsidRPr="009816C4">
      <w:rPr>
        <w:rStyle w:val="PageNumber"/>
        <w:rFonts w:ascii="Skeena" w:hAnsi="Skeena"/>
        <w:color w:val="1D252C"/>
      </w:rPr>
      <w:fldChar w:fldCharType="end"/>
    </w:r>
  </w:p>
  <w:p w14:paraId="69977A0B" w14:textId="05F939F9" w:rsidR="0089120A" w:rsidRPr="003C5EC4" w:rsidRDefault="0089120A" w:rsidP="00126965">
    <w:pPr>
      <w:pStyle w:val="BodyText"/>
      <w:rPr>
        <w:rFonts w:ascii="Skeena" w:hAnsi="Skeena" w:cstheme="minorHAnsi"/>
        <w:color w:val="1D252C"/>
        <w:sz w:val="15"/>
        <w:szCs w:val="15"/>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81C4" w14:textId="77777777" w:rsidR="00126965" w:rsidRPr="009816C4" w:rsidRDefault="00126965" w:rsidP="003C6C75">
    <w:pPr>
      <w:pStyle w:val="Footer"/>
      <w:framePr w:wrap="around" w:vAnchor="text" w:hAnchor="margin" w:xAlign="right" w:y="1"/>
      <w:rPr>
        <w:rStyle w:val="PageNumber"/>
        <w:rFonts w:ascii="Skeena" w:hAnsi="Skeena"/>
        <w:color w:val="1D252C"/>
      </w:rPr>
    </w:pPr>
    <w:r w:rsidRPr="009816C4">
      <w:rPr>
        <w:rStyle w:val="PageNumber"/>
        <w:rFonts w:ascii="Skeena" w:hAnsi="Skeena"/>
        <w:color w:val="1D252C"/>
      </w:rPr>
      <w:fldChar w:fldCharType="begin"/>
    </w:r>
    <w:r w:rsidRPr="009816C4">
      <w:rPr>
        <w:rStyle w:val="PageNumber"/>
        <w:rFonts w:ascii="Skeena" w:hAnsi="Skeena"/>
        <w:color w:val="1D252C"/>
      </w:rPr>
      <w:instrText xml:space="preserve">PAGE  </w:instrText>
    </w:r>
    <w:r w:rsidRPr="009816C4">
      <w:rPr>
        <w:rStyle w:val="PageNumber"/>
        <w:rFonts w:ascii="Skeena" w:hAnsi="Skeena"/>
        <w:color w:val="1D252C"/>
      </w:rPr>
      <w:fldChar w:fldCharType="separate"/>
    </w:r>
    <w:r w:rsidRPr="009816C4">
      <w:rPr>
        <w:rStyle w:val="PageNumber"/>
        <w:rFonts w:ascii="Skeena" w:hAnsi="Skeena"/>
        <w:noProof/>
        <w:color w:val="1D252C"/>
      </w:rPr>
      <w:t>1</w:t>
    </w:r>
    <w:r w:rsidRPr="009816C4">
      <w:rPr>
        <w:rStyle w:val="PageNumber"/>
        <w:rFonts w:ascii="Skeena" w:hAnsi="Skeena"/>
        <w:color w:val="1D252C"/>
      </w:rPr>
      <w:fldChar w:fldCharType="end"/>
    </w:r>
  </w:p>
  <w:p w14:paraId="139743C0" w14:textId="77777777" w:rsidR="00126965" w:rsidRPr="00602C77" w:rsidRDefault="00126965" w:rsidP="002E6CCD">
    <w:pPr>
      <w:pStyle w:val="BodyText"/>
      <w:rPr>
        <w:rFonts w:ascii="Skeena" w:eastAsia="Cambria" w:hAnsi="Skeena" w:cstheme="minorHAnsi"/>
        <w:color w:val="1D252C"/>
        <w:sz w:val="15"/>
        <w:szCs w:val="15"/>
        <w:lang w:val="x-none"/>
      </w:rPr>
    </w:pPr>
    <w:r w:rsidRPr="00602C77">
      <w:rPr>
        <w:rFonts w:ascii="Skeena" w:eastAsia="Cambria" w:hAnsi="Skeena" w:cstheme="minorHAnsi"/>
        <w:color w:val="1D252C"/>
        <w:sz w:val="15"/>
        <w:szCs w:val="15"/>
        <w:lang w:val="x-none"/>
      </w:rPr>
      <w:t>Risk Assured is authorised and regulated by the Financial Conduct Authority</w:t>
    </w:r>
    <w:r>
      <w:rPr>
        <w:rFonts w:ascii="Skeena" w:eastAsia="Cambria" w:hAnsi="Skeena" w:cstheme="minorHAnsi"/>
        <w:color w:val="1D252C"/>
        <w:sz w:val="15"/>
        <w:szCs w:val="15"/>
        <w:lang w:val="en-GB"/>
      </w:rPr>
      <w:t xml:space="preserve"> </w:t>
    </w:r>
    <w:r w:rsidRPr="00612E6F">
      <w:rPr>
        <w:rFonts w:ascii="Skeena" w:hAnsi="Skeena" w:cstheme="minorHAnsi"/>
        <w:color w:val="1D252C"/>
        <w:sz w:val="15"/>
        <w:szCs w:val="15"/>
      </w:rPr>
      <w:t>This information is based on our understanding of current</w:t>
    </w:r>
    <w:r>
      <w:rPr>
        <w:rFonts w:ascii="Skeena" w:hAnsi="Skeena" w:cstheme="minorHAnsi"/>
        <w:color w:val="1D252C"/>
        <w:sz w:val="15"/>
        <w:szCs w:val="15"/>
        <w:lang w:val="en-GB"/>
      </w:rPr>
      <w:t xml:space="preserve"> legislation, regulations</w:t>
    </w:r>
    <w:r w:rsidRPr="00612E6F">
      <w:rPr>
        <w:rFonts w:ascii="Skeena" w:hAnsi="Skeena" w:cstheme="minorHAnsi"/>
        <w:color w:val="1D252C"/>
        <w:sz w:val="15"/>
        <w:szCs w:val="15"/>
      </w:rPr>
      <w:t xml:space="preserve"> and HM Revenue and Customs practice</w:t>
    </w:r>
    <w:r>
      <w:rPr>
        <w:rFonts w:ascii="Skeena" w:hAnsi="Skeena" w:cstheme="minorHAnsi"/>
        <w:color w:val="1D252C"/>
        <w:sz w:val="15"/>
        <w:szCs w:val="15"/>
      </w:rPr>
      <w:t xml:space="preserve"> at the published date.</w:t>
    </w:r>
    <w:r w:rsidRPr="00612E6F">
      <w:rPr>
        <w:rFonts w:ascii="Skeena" w:hAnsi="Skeena" w:cstheme="minorHAnsi"/>
        <w:color w:val="1D252C"/>
        <w:sz w:val="15"/>
        <w:szCs w:val="15"/>
      </w:rPr>
      <w:t xml:space="preserve"> </w:t>
    </w:r>
    <w:r>
      <w:rPr>
        <w:rFonts w:ascii="Skeena" w:hAnsi="Skeena" w:cstheme="minorHAnsi"/>
        <w:color w:val="1D252C"/>
        <w:sz w:val="15"/>
        <w:szCs w:val="15"/>
      </w:rPr>
      <w:t>This technical paper should not be relied upon as it</w:t>
    </w:r>
    <w:r w:rsidRPr="00612E6F">
      <w:rPr>
        <w:rFonts w:ascii="Skeena" w:hAnsi="Skeena" w:cstheme="minorHAnsi"/>
        <w:color w:val="1D252C"/>
        <w:sz w:val="15"/>
        <w:szCs w:val="15"/>
      </w:rPr>
      <w:t xml:space="preserve"> may</w:t>
    </w:r>
    <w:r>
      <w:rPr>
        <w:rFonts w:ascii="Skeena" w:hAnsi="Skeena" w:cstheme="minorHAnsi"/>
        <w:color w:val="1D252C"/>
        <w:sz w:val="15"/>
        <w:szCs w:val="15"/>
      </w:rPr>
      <w:t xml:space="preserve"> be subject to</w:t>
    </w:r>
    <w:r w:rsidRPr="00612E6F">
      <w:rPr>
        <w:rFonts w:ascii="Skeena" w:hAnsi="Skeena" w:cstheme="minorHAnsi"/>
        <w:color w:val="1D252C"/>
        <w:sz w:val="15"/>
        <w:szCs w:val="15"/>
      </w:rPr>
      <w:t xml:space="preserve"> change</w:t>
    </w:r>
    <w:r>
      <w:rPr>
        <w:rFonts w:ascii="Skeena" w:hAnsi="Skeena" w:cstheme="minorHAnsi"/>
        <w:color w:val="1D252C"/>
        <w:sz w:val="15"/>
        <w:szCs w:val="15"/>
      </w:rPr>
      <w:t xml:space="preserve"> and </w:t>
    </w:r>
    <w:r>
      <w:rPr>
        <w:rFonts w:ascii="Skeena" w:hAnsi="Skeena" w:cstheme="minorHAnsi"/>
        <w:color w:val="1D252C"/>
        <w:sz w:val="15"/>
        <w:szCs w:val="15"/>
        <w:lang w:val="en-GB"/>
      </w:rPr>
      <w:t>should not be construed as advice.</w:t>
    </w:r>
    <w:r w:rsidRPr="00612E6F">
      <w:rPr>
        <w:rFonts w:ascii="Skeena" w:hAnsi="Skeena" w:cstheme="minorHAnsi"/>
        <w:color w:val="1D252C"/>
        <w:sz w:val="15"/>
        <w:szCs w:val="15"/>
      </w:rPr>
      <w:t xml:space="preserve"> </w:t>
    </w:r>
    <w:r>
      <w:rPr>
        <w:rFonts w:ascii="Skeena" w:hAnsi="Skeena" w:cstheme="minorHAnsi"/>
        <w:color w:val="1D252C"/>
        <w:sz w:val="15"/>
        <w:szCs w:val="15"/>
      </w:rPr>
      <w:t>W</w:t>
    </w:r>
    <w:r w:rsidRPr="00612E6F">
      <w:rPr>
        <w:rFonts w:ascii="Skeena" w:hAnsi="Skeena" w:cstheme="minorHAnsi"/>
        <w:color w:val="1D252C"/>
        <w:sz w:val="15"/>
        <w:szCs w:val="15"/>
      </w:rPr>
      <w:t xml:space="preserve">e take no responsibility for any advice given or contracts </w:t>
    </w:r>
    <w:proofErr w:type="gramStart"/>
    <w:r w:rsidRPr="00612E6F">
      <w:rPr>
        <w:rFonts w:ascii="Skeena" w:hAnsi="Skeena" w:cstheme="minorHAnsi"/>
        <w:color w:val="1D252C"/>
        <w:sz w:val="15"/>
        <w:szCs w:val="15"/>
      </w:rPr>
      <w:t>entered</w:t>
    </w:r>
    <w:r>
      <w:rPr>
        <w:rFonts w:ascii="Skeena" w:hAnsi="Skeena" w:cstheme="minorHAnsi"/>
        <w:color w:val="1D252C"/>
        <w:sz w:val="15"/>
        <w:szCs w:val="15"/>
        <w:lang w:val="en-GB"/>
      </w:rPr>
      <w:t xml:space="preserve"> into</w:t>
    </w:r>
    <w:proofErr w:type="gramEnd"/>
    <w:r>
      <w:rPr>
        <w:rFonts w:ascii="Skeena" w:hAnsi="Skeena" w:cstheme="minorHAnsi"/>
        <w:color w:val="1D252C"/>
        <w:sz w:val="15"/>
        <w:szCs w:val="15"/>
        <w:lang w:val="en-GB"/>
      </w:rPr>
      <w:t xml:space="preserve"> </w:t>
    </w:r>
    <w:r w:rsidRPr="00612E6F">
      <w:rPr>
        <w:rFonts w:ascii="Skeena" w:hAnsi="Skeena" w:cstheme="minorHAnsi"/>
        <w:color w:val="1D252C"/>
        <w:sz w:val="15"/>
        <w:szCs w:val="15"/>
      </w:rPr>
      <w:t xml:space="preserve">on the basis of this </w:t>
    </w:r>
    <w:r>
      <w:rPr>
        <w:rFonts w:ascii="Skeena" w:hAnsi="Skeena" w:cstheme="minorHAnsi"/>
        <w:color w:val="1D252C"/>
        <w:sz w:val="15"/>
        <w:szCs w:val="15"/>
        <w:lang w:val="en-GB"/>
      </w:rPr>
      <w:t>technical paper</w:t>
    </w:r>
    <w:r w:rsidRPr="00612E6F">
      <w:rPr>
        <w:rFonts w:ascii="Skeena" w:hAnsi="Skeena" w:cstheme="minorHAnsi"/>
        <w:color w:val="1D252C"/>
        <w:sz w:val="15"/>
        <w:szCs w:val="15"/>
      </w:rPr>
      <w:t xml:space="preserve">. </w:t>
    </w:r>
    <w:r>
      <w:rPr>
        <w:rFonts w:ascii="Skeena" w:hAnsi="Skeena" w:cstheme="minorHAnsi"/>
        <w:color w:val="1D252C"/>
        <w:sz w:val="15"/>
        <w:szCs w:val="15"/>
      </w:rPr>
      <w:t>This information is intended for professional advisers only.</w:t>
    </w:r>
  </w:p>
  <w:p w14:paraId="2D0EE6DB" w14:textId="77777777" w:rsidR="00126965" w:rsidRPr="003C5EC4" w:rsidRDefault="00126965" w:rsidP="002E6CCD">
    <w:pPr>
      <w:pStyle w:val="Footer"/>
      <w:ind w:right="360"/>
      <w:rPr>
        <w:rFonts w:ascii="Skeena" w:hAnsi="Skeena" w:cstheme="minorHAnsi"/>
        <w:color w:val="1D252C"/>
        <w:sz w:val="15"/>
        <w:szCs w:val="15"/>
        <w:lang w:val="en-GB"/>
      </w:rPr>
    </w:pPr>
    <w:r w:rsidRPr="003C5EC4">
      <w:rPr>
        <w:rFonts w:ascii="Skeena" w:hAnsi="Skeena" w:cstheme="minorHAnsi"/>
        <w:color w:val="1D252C"/>
        <w:sz w:val="15"/>
        <w:szCs w:val="15"/>
        <w:lang w:val="en-GB"/>
      </w:rPr>
      <w:t>E&amp;OE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5ABA" w14:textId="77777777" w:rsidR="004D52BD" w:rsidRDefault="004D52BD" w:rsidP="00980EE1">
      <w:pPr>
        <w:spacing w:after="0"/>
      </w:pPr>
      <w:r>
        <w:separator/>
      </w:r>
    </w:p>
  </w:footnote>
  <w:footnote w:type="continuationSeparator" w:id="0">
    <w:p w14:paraId="54E9A0B7" w14:textId="77777777" w:rsidR="004D52BD" w:rsidRDefault="004D52BD" w:rsidP="00980E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A6FC" w14:textId="77777777" w:rsidR="00B7333D" w:rsidRPr="009816C4" w:rsidRDefault="00B7333D" w:rsidP="00B7333D">
    <w:pPr>
      <w:pStyle w:val="Header"/>
      <w:rPr>
        <w:rFonts w:ascii="Skeena" w:hAnsi="Skeena" w:cs="Arial"/>
        <w:color w:val="1D252C"/>
      </w:rPr>
    </w:pPr>
    <w:r>
      <w:rPr>
        <w:noProof/>
      </w:rPr>
      <w:drawing>
        <wp:anchor distT="0" distB="0" distL="114300" distR="114300" simplePos="0" relativeHeight="251659264" behindDoc="0" locked="0" layoutInCell="1" allowOverlap="1" wp14:anchorId="1F26F50E" wp14:editId="3493D5F4">
          <wp:simplePos x="0" y="0"/>
          <wp:positionH relativeFrom="column">
            <wp:posOffset>3733800</wp:posOffset>
          </wp:positionH>
          <wp:positionV relativeFrom="paragraph">
            <wp:posOffset>-230505</wp:posOffset>
          </wp:positionV>
          <wp:extent cx="2152650" cy="817787"/>
          <wp:effectExtent l="0" t="0" r="0" b="190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817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16C4">
      <w:rPr>
        <w:rFonts w:ascii="Skeena" w:hAnsi="Skeena" w:cs="Arial"/>
        <w:color w:val="1D252C"/>
      </w:rPr>
      <w:t>Technical paper</w:t>
    </w:r>
  </w:p>
  <w:p w14:paraId="42B5227E" w14:textId="77777777" w:rsidR="00B7333D" w:rsidRDefault="00B7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DF6"/>
    <w:multiLevelType w:val="multilevel"/>
    <w:tmpl w:val="94BA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D0B10"/>
    <w:multiLevelType w:val="multilevel"/>
    <w:tmpl w:val="13367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E656A"/>
    <w:multiLevelType w:val="multilevel"/>
    <w:tmpl w:val="9C6A2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CC65E8"/>
    <w:multiLevelType w:val="hybridMultilevel"/>
    <w:tmpl w:val="8144A554"/>
    <w:lvl w:ilvl="0" w:tplc="BA4A29AC">
      <w:start w:val="1"/>
      <w:numFmt w:val="bullet"/>
      <w:pStyle w:val="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D4705"/>
    <w:multiLevelType w:val="multilevel"/>
    <w:tmpl w:val="C296A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80427"/>
    <w:multiLevelType w:val="multilevel"/>
    <w:tmpl w:val="E5242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2332E"/>
    <w:multiLevelType w:val="multilevel"/>
    <w:tmpl w:val="41249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5740645">
    <w:abstractNumId w:val="3"/>
  </w:num>
  <w:num w:numId="2" w16cid:durableId="399911374">
    <w:abstractNumId w:val="1"/>
    <w:lvlOverride w:ilvl="0"/>
    <w:lvlOverride w:ilvl="1"/>
    <w:lvlOverride w:ilvl="2"/>
    <w:lvlOverride w:ilvl="3"/>
    <w:lvlOverride w:ilvl="4"/>
    <w:lvlOverride w:ilvl="5"/>
    <w:lvlOverride w:ilvl="6"/>
    <w:lvlOverride w:ilvl="7"/>
    <w:lvlOverride w:ilvl="8"/>
  </w:num>
  <w:num w:numId="3" w16cid:durableId="1735546735">
    <w:abstractNumId w:val="6"/>
    <w:lvlOverride w:ilvl="0"/>
    <w:lvlOverride w:ilvl="1"/>
    <w:lvlOverride w:ilvl="2"/>
    <w:lvlOverride w:ilvl="3"/>
    <w:lvlOverride w:ilvl="4"/>
    <w:lvlOverride w:ilvl="5"/>
    <w:lvlOverride w:ilvl="6"/>
    <w:lvlOverride w:ilvl="7"/>
    <w:lvlOverride w:ilvl="8"/>
  </w:num>
  <w:num w:numId="4" w16cid:durableId="1817456659">
    <w:abstractNumId w:val="0"/>
    <w:lvlOverride w:ilvl="0"/>
    <w:lvlOverride w:ilvl="1"/>
    <w:lvlOverride w:ilvl="2"/>
    <w:lvlOverride w:ilvl="3"/>
    <w:lvlOverride w:ilvl="4"/>
    <w:lvlOverride w:ilvl="5"/>
    <w:lvlOverride w:ilvl="6"/>
    <w:lvlOverride w:ilvl="7"/>
    <w:lvlOverride w:ilvl="8"/>
  </w:num>
  <w:num w:numId="5" w16cid:durableId="1267156484">
    <w:abstractNumId w:val="5"/>
    <w:lvlOverride w:ilvl="0"/>
    <w:lvlOverride w:ilvl="1"/>
    <w:lvlOverride w:ilvl="2"/>
    <w:lvlOverride w:ilvl="3"/>
    <w:lvlOverride w:ilvl="4"/>
    <w:lvlOverride w:ilvl="5"/>
    <w:lvlOverride w:ilvl="6"/>
    <w:lvlOverride w:ilvl="7"/>
    <w:lvlOverride w:ilvl="8"/>
  </w:num>
  <w:num w:numId="6" w16cid:durableId="1969624892">
    <w:abstractNumId w:val="2"/>
    <w:lvlOverride w:ilvl="0"/>
    <w:lvlOverride w:ilvl="1"/>
    <w:lvlOverride w:ilvl="2"/>
    <w:lvlOverride w:ilvl="3"/>
    <w:lvlOverride w:ilvl="4"/>
    <w:lvlOverride w:ilvl="5"/>
    <w:lvlOverride w:ilvl="6"/>
    <w:lvlOverride w:ilvl="7"/>
    <w:lvlOverride w:ilvl="8"/>
  </w:num>
  <w:num w:numId="7" w16cid:durableId="111093737">
    <w:abstractNumId w:val="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62"/>
    <w:rsid w:val="0000186B"/>
    <w:rsid w:val="000045C5"/>
    <w:rsid w:val="000110D3"/>
    <w:rsid w:val="0001397F"/>
    <w:rsid w:val="00016911"/>
    <w:rsid w:val="00016F00"/>
    <w:rsid w:val="0001706F"/>
    <w:rsid w:val="0001778E"/>
    <w:rsid w:val="00020708"/>
    <w:rsid w:val="00022669"/>
    <w:rsid w:val="00022A28"/>
    <w:rsid w:val="00025CFF"/>
    <w:rsid w:val="00026B58"/>
    <w:rsid w:val="000338DA"/>
    <w:rsid w:val="0003442D"/>
    <w:rsid w:val="00034DBC"/>
    <w:rsid w:val="00037AB2"/>
    <w:rsid w:val="0004474E"/>
    <w:rsid w:val="00044998"/>
    <w:rsid w:val="000514DF"/>
    <w:rsid w:val="00054AC0"/>
    <w:rsid w:val="00056A59"/>
    <w:rsid w:val="00071731"/>
    <w:rsid w:val="0007215C"/>
    <w:rsid w:val="00077627"/>
    <w:rsid w:val="00094B4E"/>
    <w:rsid w:val="000A069E"/>
    <w:rsid w:val="000A133D"/>
    <w:rsid w:val="000A3918"/>
    <w:rsid w:val="000A5DAE"/>
    <w:rsid w:val="000A5F4A"/>
    <w:rsid w:val="000A675D"/>
    <w:rsid w:val="000B30FD"/>
    <w:rsid w:val="000C350B"/>
    <w:rsid w:val="000C5086"/>
    <w:rsid w:val="000C5A28"/>
    <w:rsid w:val="000D073A"/>
    <w:rsid w:val="000D4295"/>
    <w:rsid w:val="000D6667"/>
    <w:rsid w:val="000D73B1"/>
    <w:rsid w:val="000E62CB"/>
    <w:rsid w:val="000F471E"/>
    <w:rsid w:val="0010260B"/>
    <w:rsid w:val="00104401"/>
    <w:rsid w:val="00113E02"/>
    <w:rsid w:val="001160C8"/>
    <w:rsid w:val="00125BB3"/>
    <w:rsid w:val="00126965"/>
    <w:rsid w:val="00130974"/>
    <w:rsid w:val="001362C8"/>
    <w:rsid w:val="00137367"/>
    <w:rsid w:val="00143719"/>
    <w:rsid w:val="00145606"/>
    <w:rsid w:val="001469B3"/>
    <w:rsid w:val="001510C4"/>
    <w:rsid w:val="00156DFA"/>
    <w:rsid w:val="001700BD"/>
    <w:rsid w:val="00170915"/>
    <w:rsid w:val="00174199"/>
    <w:rsid w:val="00175311"/>
    <w:rsid w:val="001863B7"/>
    <w:rsid w:val="00191DCE"/>
    <w:rsid w:val="00194BD5"/>
    <w:rsid w:val="00196C08"/>
    <w:rsid w:val="00196EA3"/>
    <w:rsid w:val="001A05B9"/>
    <w:rsid w:val="001A2E0C"/>
    <w:rsid w:val="001A59D3"/>
    <w:rsid w:val="001A6662"/>
    <w:rsid w:val="001A6DA5"/>
    <w:rsid w:val="001B33D4"/>
    <w:rsid w:val="001B5947"/>
    <w:rsid w:val="001B7E2D"/>
    <w:rsid w:val="001E31D7"/>
    <w:rsid w:val="001E3B18"/>
    <w:rsid w:val="001F001A"/>
    <w:rsid w:val="001F2601"/>
    <w:rsid w:val="001F6DA6"/>
    <w:rsid w:val="00201056"/>
    <w:rsid w:val="00207A03"/>
    <w:rsid w:val="0021101D"/>
    <w:rsid w:val="00215816"/>
    <w:rsid w:val="00223080"/>
    <w:rsid w:val="00223389"/>
    <w:rsid w:val="00233522"/>
    <w:rsid w:val="002430C3"/>
    <w:rsid w:val="00244944"/>
    <w:rsid w:val="00246CF2"/>
    <w:rsid w:val="00251FD5"/>
    <w:rsid w:val="00265A40"/>
    <w:rsid w:val="002725A2"/>
    <w:rsid w:val="0027511B"/>
    <w:rsid w:val="00275285"/>
    <w:rsid w:val="0028072D"/>
    <w:rsid w:val="002849F8"/>
    <w:rsid w:val="00294640"/>
    <w:rsid w:val="00295F29"/>
    <w:rsid w:val="0029748E"/>
    <w:rsid w:val="002A21B7"/>
    <w:rsid w:val="002A422B"/>
    <w:rsid w:val="002A5939"/>
    <w:rsid w:val="002C65BC"/>
    <w:rsid w:val="002C7D28"/>
    <w:rsid w:val="002C7FB9"/>
    <w:rsid w:val="002D12B1"/>
    <w:rsid w:val="002D7B82"/>
    <w:rsid w:val="002E0535"/>
    <w:rsid w:val="002E2A56"/>
    <w:rsid w:val="002E42DE"/>
    <w:rsid w:val="002E4753"/>
    <w:rsid w:val="002E5278"/>
    <w:rsid w:val="002E6CCD"/>
    <w:rsid w:val="002F304B"/>
    <w:rsid w:val="003041F9"/>
    <w:rsid w:val="0030679D"/>
    <w:rsid w:val="0030748A"/>
    <w:rsid w:val="0031082A"/>
    <w:rsid w:val="0031112E"/>
    <w:rsid w:val="0031218E"/>
    <w:rsid w:val="00312CC4"/>
    <w:rsid w:val="00314767"/>
    <w:rsid w:val="00327536"/>
    <w:rsid w:val="00331758"/>
    <w:rsid w:val="00335B41"/>
    <w:rsid w:val="00336DA7"/>
    <w:rsid w:val="0034428E"/>
    <w:rsid w:val="00347CCB"/>
    <w:rsid w:val="00353AA7"/>
    <w:rsid w:val="003555B5"/>
    <w:rsid w:val="003610A8"/>
    <w:rsid w:val="0036233A"/>
    <w:rsid w:val="0037121D"/>
    <w:rsid w:val="00371315"/>
    <w:rsid w:val="00376959"/>
    <w:rsid w:val="00381538"/>
    <w:rsid w:val="003844EB"/>
    <w:rsid w:val="003A2140"/>
    <w:rsid w:val="003B2808"/>
    <w:rsid w:val="003B33FE"/>
    <w:rsid w:val="003B4FA0"/>
    <w:rsid w:val="003C08DD"/>
    <w:rsid w:val="003C4EB8"/>
    <w:rsid w:val="003C5EC4"/>
    <w:rsid w:val="003C6C75"/>
    <w:rsid w:val="003E003A"/>
    <w:rsid w:val="003E6611"/>
    <w:rsid w:val="00410A1E"/>
    <w:rsid w:val="00413B63"/>
    <w:rsid w:val="00415AC1"/>
    <w:rsid w:val="0043069B"/>
    <w:rsid w:val="0043179D"/>
    <w:rsid w:val="00432DC2"/>
    <w:rsid w:val="0044102F"/>
    <w:rsid w:val="004509BF"/>
    <w:rsid w:val="004578DF"/>
    <w:rsid w:val="00460D26"/>
    <w:rsid w:val="00466C6F"/>
    <w:rsid w:val="00466C76"/>
    <w:rsid w:val="00467617"/>
    <w:rsid w:val="00473F58"/>
    <w:rsid w:val="00475992"/>
    <w:rsid w:val="00483D89"/>
    <w:rsid w:val="00483FD4"/>
    <w:rsid w:val="0048666E"/>
    <w:rsid w:val="00486F41"/>
    <w:rsid w:val="00492521"/>
    <w:rsid w:val="004A0A34"/>
    <w:rsid w:val="004B20D6"/>
    <w:rsid w:val="004B7FE7"/>
    <w:rsid w:val="004C1768"/>
    <w:rsid w:val="004D52BD"/>
    <w:rsid w:val="004E19CA"/>
    <w:rsid w:val="004E2D34"/>
    <w:rsid w:val="004E6BC2"/>
    <w:rsid w:val="004F0467"/>
    <w:rsid w:val="004F438C"/>
    <w:rsid w:val="00501760"/>
    <w:rsid w:val="00505714"/>
    <w:rsid w:val="005076F6"/>
    <w:rsid w:val="005120EA"/>
    <w:rsid w:val="005169F6"/>
    <w:rsid w:val="005172C8"/>
    <w:rsid w:val="00517699"/>
    <w:rsid w:val="00517A2E"/>
    <w:rsid w:val="00520291"/>
    <w:rsid w:val="00521A99"/>
    <w:rsid w:val="00527378"/>
    <w:rsid w:val="00527600"/>
    <w:rsid w:val="00530891"/>
    <w:rsid w:val="0053538A"/>
    <w:rsid w:val="00535442"/>
    <w:rsid w:val="00541AA4"/>
    <w:rsid w:val="0054286B"/>
    <w:rsid w:val="00543E15"/>
    <w:rsid w:val="00544995"/>
    <w:rsid w:val="00545E28"/>
    <w:rsid w:val="005519E2"/>
    <w:rsid w:val="005529D3"/>
    <w:rsid w:val="005614D3"/>
    <w:rsid w:val="00565F0C"/>
    <w:rsid w:val="005664A0"/>
    <w:rsid w:val="00566F94"/>
    <w:rsid w:val="00570AB3"/>
    <w:rsid w:val="00570DA6"/>
    <w:rsid w:val="0057173F"/>
    <w:rsid w:val="0057574B"/>
    <w:rsid w:val="00582E99"/>
    <w:rsid w:val="00594480"/>
    <w:rsid w:val="00594C09"/>
    <w:rsid w:val="0059600C"/>
    <w:rsid w:val="00596F7F"/>
    <w:rsid w:val="005A0D25"/>
    <w:rsid w:val="005A1391"/>
    <w:rsid w:val="005A4008"/>
    <w:rsid w:val="005A64C6"/>
    <w:rsid w:val="005B2A10"/>
    <w:rsid w:val="005B2D79"/>
    <w:rsid w:val="005B59AC"/>
    <w:rsid w:val="005B5BF6"/>
    <w:rsid w:val="005B6636"/>
    <w:rsid w:val="005D2086"/>
    <w:rsid w:val="005D62B7"/>
    <w:rsid w:val="005E7C38"/>
    <w:rsid w:val="005F084E"/>
    <w:rsid w:val="005F46A7"/>
    <w:rsid w:val="006027EA"/>
    <w:rsid w:val="00602C77"/>
    <w:rsid w:val="00603883"/>
    <w:rsid w:val="00604452"/>
    <w:rsid w:val="00610003"/>
    <w:rsid w:val="00612F17"/>
    <w:rsid w:val="006138BD"/>
    <w:rsid w:val="00614106"/>
    <w:rsid w:val="00614A21"/>
    <w:rsid w:val="0062110E"/>
    <w:rsid w:val="00621C44"/>
    <w:rsid w:val="00622813"/>
    <w:rsid w:val="0062306E"/>
    <w:rsid w:val="0062543A"/>
    <w:rsid w:val="00630D22"/>
    <w:rsid w:val="0064234D"/>
    <w:rsid w:val="00644A03"/>
    <w:rsid w:val="006515C4"/>
    <w:rsid w:val="006536E4"/>
    <w:rsid w:val="00657083"/>
    <w:rsid w:val="00663384"/>
    <w:rsid w:val="00664F9B"/>
    <w:rsid w:val="00672451"/>
    <w:rsid w:val="00674C57"/>
    <w:rsid w:val="00674E52"/>
    <w:rsid w:val="00684D2C"/>
    <w:rsid w:val="006852EA"/>
    <w:rsid w:val="006929CC"/>
    <w:rsid w:val="00694D7D"/>
    <w:rsid w:val="006A1B26"/>
    <w:rsid w:val="006A2BB0"/>
    <w:rsid w:val="006B0C72"/>
    <w:rsid w:val="006B2DDF"/>
    <w:rsid w:val="006B7B04"/>
    <w:rsid w:val="006C6E22"/>
    <w:rsid w:val="006C6E8B"/>
    <w:rsid w:val="006D7102"/>
    <w:rsid w:val="006E0DD5"/>
    <w:rsid w:val="006E52ED"/>
    <w:rsid w:val="006E6EBD"/>
    <w:rsid w:val="006F3D3C"/>
    <w:rsid w:val="00702DDC"/>
    <w:rsid w:val="00705849"/>
    <w:rsid w:val="0071566B"/>
    <w:rsid w:val="00716132"/>
    <w:rsid w:val="00724B1B"/>
    <w:rsid w:val="00726EE7"/>
    <w:rsid w:val="007331F4"/>
    <w:rsid w:val="00746D0D"/>
    <w:rsid w:val="00750F03"/>
    <w:rsid w:val="00755F8C"/>
    <w:rsid w:val="007566D8"/>
    <w:rsid w:val="007613FB"/>
    <w:rsid w:val="00762709"/>
    <w:rsid w:val="00766D1F"/>
    <w:rsid w:val="0077631B"/>
    <w:rsid w:val="00781649"/>
    <w:rsid w:val="007868F2"/>
    <w:rsid w:val="007B0975"/>
    <w:rsid w:val="007C065B"/>
    <w:rsid w:val="007C2000"/>
    <w:rsid w:val="007C2AAB"/>
    <w:rsid w:val="007C7009"/>
    <w:rsid w:val="007C7E65"/>
    <w:rsid w:val="007D2B97"/>
    <w:rsid w:val="007D2E70"/>
    <w:rsid w:val="007D33F1"/>
    <w:rsid w:val="007D63DA"/>
    <w:rsid w:val="007D6E7B"/>
    <w:rsid w:val="007E0403"/>
    <w:rsid w:val="007E2217"/>
    <w:rsid w:val="007F192D"/>
    <w:rsid w:val="007F421C"/>
    <w:rsid w:val="007F632D"/>
    <w:rsid w:val="007F63DE"/>
    <w:rsid w:val="008020B5"/>
    <w:rsid w:val="00822CC4"/>
    <w:rsid w:val="00830092"/>
    <w:rsid w:val="00832461"/>
    <w:rsid w:val="008329C6"/>
    <w:rsid w:val="00837D96"/>
    <w:rsid w:val="00844E71"/>
    <w:rsid w:val="00846B28"/>
    <w:rsid w:val="00856ECB"/>
    <w:rsid w:val="00861A3B"/>
    <w:rsid w:val="00864AE6"/>
    <w:rsid w:val="00864EAB"/>
    <w:rsid w:val="00867317"/>
    <w:rsid w:val="00872C3A"/>
    <w:rsid w:val="00873DB7"/>
    <w:rsid w:val="0087735C"/>
    <w:rsid w:val="00883F0C"/>
    <w:rsid w:val="0089111C"/>
    <w:rsid w:val="0089120A"/>
    <w:rsid w:val="008951DF"/>
    <w:rsid w:val="008959E9"/>
    <w:rsid w:val="008A352D"/>
    <w:rsid w:val="008A68EC"/>
    <w:rsid w:val="008A7B65"/>
    <w:rsid w:val="008B42A7"/>
    <w:rsid w:val="008C7146"/>
    <w:rsid w:val="008D48C2"/>
    <w:rsid w:val="008E2820"/>
    <w:rsid w:val="008E4B41"/>
    <w:rsid w:val="008E7393"/>
    <w:rsid w:val="008F6E61"/>
    <w:rsid w:val="00900357"/>
    <w:rsid w:val="009022C6"/>
    <w:rsid w:val="00905958"/>
    <w:rsid w:val="00906707"/>
    <w:rsid w:val="00910DE6"/>
    <w:rsid w:val="00915484"/>
    <w:rsid w:val="0091771B"/>
    <w:rsid w:val="00925400"/>
    <w:rsid w:val="00925E59"/>
    <w:rsid w:val="0094118E"/>
    <w:rsid w:val="00942E42"/>
    <w:rsid w:val="009455D5"/>
    <w:rsid w:val="00947935"/>
    <w:rsid w:val="00950823"/>
    <w:rsid w:val="009510E7"/>
    <w:rsid w:val="00952B9A"/>
    <w:rsid w:val="009572ED"/>
    <w:rsid w:val="00960213"/>
    <w:rsid w:val="009622D1"/>
    <w:rsid w:val="009668C5"/>
    <w:rsid w:val="00970E94"/>
    <w:rsid w:val="00976B54"/>
    <w:rsid w:val="00980EE1"/>
    <w:rsid w:val="009816C4"/>
    <w:rsid w:val="00982E8E"/>
    <w:rsid w:val="00990466"/>
    <w:rsid w:val="00991923"/>
    <w:rsid w:val="00991B52"/>
    <w:rsid w:val="009A45A3"/>
    <w:rsid w:val="009A52AC"/>
    <w:rsid w:val="009B655B"/>
    <w:rsid w:val="009B73A6"/>
    <w:rsid w:val="009B78AB"/>
    <w:rsid w:val="009C249A"/>
    <w:rsid w:val="009D34EA"/>
    <w:rsid w:val="009D715C"/>
    <w:rsid w:val="009E59FD"/>
    <w:rsid w:val="009F03AE"/>
    <w:rsid w:val="009F29D3"/>
    <w:rsid w:val="009F2B54"/>
    <w:rsid w:val="009F2D85"/>
    <w:rsid w:val="009F5C61"/>
    <w:rsid w:val="00A04C40"/>
    <w:rsid w:val="00A06327"/>
    <w:rsid w:val="00A16733"/>
    <w:rsid w:val="00A17F4B"/>
    <w:rsid w:val="00A201C1"/>
    <w:rsid w:val="00A225F0"/>
    <w:rsid w:val="00A2579B"/>
    <w:rsid w:val="00A35CCE"/>
    <w:rsid w:val="00A35FD4"/>
    <w:rsid w:val="00A46619"/>
    <w:rsid w:val="00A47EA9"/>
    <w:rsid w:val="00A50246"/>
    <w:rsid w:val="00A66929"/>
    <w:rsid w:val="00A67CA8"/>
    <w:rsid w:val="00A74BE4"/>
    <w:rsid w:val="00A9480E"/>
    <w:rsid w:val="00AA5200"/>
    <w:rsid w:val="00AA7FDD"/>
    <w:rsid w:val="00AD60DE"/>
    <w:rsid w:val="00AD7863"/>
    <w:rsid w:val="00AE2040"/>
    <w:rsid w:val="00AE57F1"/>
    <w:rsid w:val="00AF52D4"/>
    <w:rsid w:val="00B02374"/>
    <w:rsid w:val="00B15E9E"/>
    <w:rsid w:val="00B16907"/>
    <w:rsid w:val="00B17159"/>
    <w:rsid w:val="00B276A7"/>
    <w:rsid w:val="00B30D77"/>
    <w:rsid w:val="00B33282"/>
    <w:rsid w:val="00B3660E"/>
    <w:rsid w:val="00B60B9C"/>
    <w:rsid w:val="00B61EAB"/>
    <w:rsid w:val="00B6369C"/>
    <w:rsid w:val="00B637F4"/>
    <w:rsid w:val="00B67871"/>
    <w:rsid w:val="00B7333D"/>
    <w:rsid w:val="00B7661F"/>
    <w:rsid w:val="00B8113C"/>
    <w:rsid w:val="00B835A2"/>
    <w:rsid w:val="00B83F41"/>
    <w:rsid w:val="00B85483"/>
    <w:rsid w:val="00B85550"/>
    <w:rsid w:val="00BA42C0"/>
    <w:rsid w:val="00BA5397"/>
    <w:rsid w:val="00BB1B95"/>
    <w:rsid w:val="00BC7D88"/>
    <w:rsid w:val="00BD17A7"/>
    <w:rsid w:val="00BD3E9D"/>
    <w:rsid w:val="00BE1650"/>
    <w:rsid w:val="00BE2B03"/>
    <w:rsid w:val="00BE37BE"/>
    <w:rsid w:val="00BE672D"/>
    <w:rsid w:val="00BF2E67"/>
    <w:rsid w:val="00BF5C7E"/>
    <w:rsid w:val="00BF6122"/>
    <w:rsid w:val="00C113E0"/>
    <w:rsid w:val="00C16288"/>
    <w:rsid w:val="00C30CAD"/>
    <w:rsid w:val="00C4008E"/>
    <w:rsid w:val="00C41B60"/>
    <w:rsid w:val="00C439BB"/>
    <w:rsid w:val="00C451B1"/>
    <w:rsid w:val="00C45400"/>
    <w:rsid w:val="00C51A0F"/>
    <w:rsid w:val="00C615DE"/>
    <w:rsid w:val="00C700A4"/>
    <w:rsid w:val="00C70BAC"/>
    <w:rsid w:val="00C7158B"/>
    <w:rsid w:val="00C759C3"/>
    <w:rsid w:val="00C76CE2"/>
    <w:rsid w:val="00C86BEB"/>
    <w:rsid w:val="00C87B22"/>
    <w:rsid w:val="00C93E80"/>
    <w:rsid w:val="00CA7E74"/>
    <w:rsid w:val="00CB1D5B"/>
    <w:rsid w:val="00CB2284"/>
    <w:rsid w:val="00CB358C"/>
    <w:rsid w:val="00CB393F"/>
    <w:rsid w:val="00CB4F30"/>
    <w:rsid w:val="00CB6C8B"/>
    <w:rsid w:val="00CC51F4"/>
    <w:rsid w:val="00CC556C"/>
    <w:rsid w:val="00CC7DAA"/>
    <w:rsid w:val="00CD1A0F"/>
    <w:rsid w:val="00CD38FD"/>
    <w:rsid w:val="00CE4F48"/>
    <w:rsid w:val="00CF18A6"/>
    <w:rsid w:val="00CF2037"/>
    <w:rsid w:val="00D03544"/>
    <w:rsid w:val="00D05E48"/>
    <w:rsid w:val="00D135C4"/>
    <w:rsid w:val="00D17B50"/>
    <w:rsid w:val="00D2372F"/>
    <w:rsid w:val="00D26318"/>
    <w:rsid w:val="00D31405"/>
    <w:rsid w:val="00D36C57"/>
    <w:rsid w:val="00D41B1E"/>
    <w:rsid w:val="00D459A4"/>
    <w:rsid w:val="00D45DB5"/>
    <w:rsid w:val="00D523CE"/>
    <w:rsid w:val="00D5286B"/>
    <w:rsid w:val="00D52F6A"/>
    <w:rsid w:val="00D538F1"/>
    <w:rsid w:val="00D54412"/>
    <w:rsid w:val="00D54CDA"/>
    <w:rsid w:val="00D645F7"/>
    <w:rsid w:val="00D651C3"/>
    <w:rsid w:val="00D6739E"/>
    <w:rsid w:val="00D73695"/>
    <w:rsid w:val="00D738EB"/>
    <w:rsid w:val="00D76751"/>
    <w:rsid w:val="00D80FAA"/>
    <w:rsid w:val="00D83E64"/>
    <w:rsid w:val="00D944C9"/>
    <w:rsid w:val="00D94D02"/>
    <w:rsid w:val="00D96F65"/>
    <w:rsid w:val="00D97334"/>
    <w:rsid w:val="00DA391C"/>
    <w:rsid w:val="00DA52D2"/>
    <w:rsid w:val="00DB35F4"/>
    <w:rsid w:val="00DB3E8C"/>
    <w:rsid w:val="00DB53C4"/>
    <w:rsid w:val="00DB6307"/>
    <w:rsid w:val="00DB727A"/>
    <w:rsid w:val="00DC1649"/>
    <w:rsid w:val="00DC1F23"/>
    <w:rsid w:val="00DC40D7"/>
    <w:rsid w:val="00DC7F35"/>
    <w:rsid w:val="00DD09C8"/>
    <w:rsid w:val="00DD328B"/>
    <w:rsid w:val="00DD6B5F"/>
    <w:rsid w:val="00DE6CFC"/>
    <w:rsid w:val="00DF5062"/>
    <w:rsid w:val="00DF60CC"/>
    <w:rsid w:val="00E13BCC"/>
    <w:rsid w:val="00E22E12"/>
    <w:rsid w:val="00E2316E"/>
    <w:rsid w:val="00E23BC7"/>
    <w:rsid w:val="00E261D5"/>
    <w:rsid w:val="00E34187"/>
    <w:rsid w:val="00E35906"/>
    <w:rsid w:val="00E37FBC"/>
    <w:rsid w:val="00E447EF"/>
    <w:rsid w:val="00E44D99"/>
    <w:rsid w:val="00E506C8"/>
    <w:rsid w:val="00E514F0"/>
    <w:rsid w:val="00E521E1"/>
    <w:rsid w:val="00E61E91"/>
    <w:rsid w:val="00E6717A"/>
    <w:rsid w:val="00E770CF"/>
    <w:rsid w:val="00E816CB"/>
    <w:rsid w:val="00E8434B"/>
    <w:rsid w:val="00E86993"/>
    <w:rsid w:val="00E94B19"/>
    <w:rsid w:val="00EA76AC"/>
    <w:rsid w:val="00EA7986"/>
    <w:rsid w:val="00EB0A49"/>
    <w:rsid w:val="00EC3A82"/>
    <w:rsid w:val="00EC7931"/>
    <w:rsid w:val="00EC79EA"/>
    <w:rsid w:val="00ED4E39"/>
    <w:rsid w:val="00ED4ED9"/>
    <w:rsid w:val="00ED7800"/>
    <w:rsid w:val="00EE0D66"/>
    <w:rsid w:val="00EE396A"/>
    <w:rsid w:val="00EE7125"/>
    <w:rsid w:val="00EF0B38"/>
    <w:rsid w:val="00F04878"/>
    <w:rsid w:val="00F12B05"/>
    <w:rsid w:val="00F22061"/>
    <w:rsid w:val="00F52DBD"/>
    <w:rsid w:val="00F52E6F"/>
    <w:rsid w:val="00F55364"/>
    <w:rsid w:val="00F55D16"/>
    <w:rsid w:val="00F72A6A"/>
    <w:rsid w:val="00F73556"/>
    <w:rsid w:val="00F74AF4"/>
    <w:rsid w:val="00FA164B"/>
    <w:rsid w:val="00FA4FDA"/>
    <w:rsid w:val="00FA504B"/>
    <w:rsid w:val="00FA7AA5"/>
    <w:rsid w:val="00FB190D"/>
    <w:rsid w:val="00FB256F"/>
    <w:rsid w:val="00FB2F83"/>
    <w:rsid w:val="00FC286C"/>
    <w:rsid w:val="00FD0AFB"/>
    <w:rsid w:val="00FD212B"/>
    <w:rsid w:val="00FD6E13"/>
    <w:rsid w:val="00FE077B"/>
    <w:rsid w:val="00FE0A23"/>
    <w:rsid w:val="00FE10D4"/>
    <w:rsid w:val="00FF265D"/>
    <w:rsid w:val="00FF4F7F"/>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7ECBF92"/>
  <w15:docId w15:val="{4CCBC956-C0B2-405D-A23C-49D9194C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14D"/>
    <w:pPr>
      <w:spacing w:after="200"/>
    </w:pPr>
    <w:rPr>
      <w:rFonts w:ascii="Arial" w:hAnsi="Arial"/>
      <w:sz w:val="24"/>
      <w:szCs w:val="24"/>
      <w:lang w:eastAsia="en-US"/>
    </w:rPr>
  </w:style>
  <w:style w:type="paragraph" w:styleId="Heading1">
    <w:name w:val="heading 1"/>
    <w:aliases w:val="Heading 11"/>
    <w:basedOn w:val="Normal"/>
    <w:next w:val="Normal"/>
    <w:link w:val="Heading1Char1"/>
    <w:qFormat/>
    <w:rsid w:val="003610A8"/>
    <w:pPr>
      <w:keepNext/>
      <w:spacing w:after="0"/>
      <w:outlineLvl w:val="0"/>
    </w:pPr>
    <w:rPr>
      <w:rFonts w:eastAsia="Times New Roman"/>
      <w:b/>
      <w:sz w:val="28"/>
      <w:szCs w:val="22"/>
    </w:rPr>
  </w:style>
  <w:style w:type="paragraph" w:styleId="Heading2">
    <w:name w:val="heading 2"/>
    <w:basedOn w:val="Normal"/>
    <w:next w:val="Normal"/>
    <w:link w:val="Heading2Char"/>
    <w:semiHidden/>
    <w:unhideWhenUsed/>
    <w:qFormat/>
    <w:rsid w:val="005176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6662"/>
    <w:rPr>
      <w:color w:val="0000FF"/>
      <w:u w:val="single"/>
    </w:rPr>
  </w:style>
  <w:style w:type="paragraph" w:styleId="Header">
    <w:name w:val="header"/>
    <w:basedOn w:val="Normal"/>
    <w:link w:val="HeaderChar"/>
    <w:rsid w:val="003D2BFB"/>
    <w:pPr>
      <w:tabs>
        <w:tab w:val="center" w:pos="4513"/>
        <w:tab w:val="right" w:pos="9026"/>
      </w:tabs>
    </w:pPr>
    <w:rPr>
      <w:lang w:val="x-none"/>
    </w:rPr>
  </w:style>
  <w:style w:type="character" w:customStyle="1" w:styleId="HeaderChar">
    <w:name w:val="Header Char"/>
    <w:link w:val="Header"/>
    <w:rsid w:val="003D2BFB"/>
    <w:rPr>
      <w:rFonts w:ascii="Arial" w:hAnsi="Arial"/>
      <w:sz w:val="24"/>
      <w:szCs w:val="24"/>
      <w:lang w:eastAsia="en-US"/>
    </w:rPr>
  </w:style>
  <w:style w:type="paragraph" w:styleId="Footer">
    <w:name w:val="footer"/>
    <w:basedOn w:val="Normal"/>
    <w:link w:val="FooterChar"/>
    <w:rsid w:val="003D2BFB"/>
    <w:pPr>
      <w:tabs>
        <w:tab w:val="center" w:pos="4513"/>
        <w:tab w:val="right" w:pos="9026"/>
      </w:tabs>
    </w:pPr>
    <w:rPr>
      <w:lang w:val="x-none"/>
    </w:rPr>
  </w:style>
  <w:style w:type="character" w:customStyle="1" w:styleId="FooterChar">
    <w:name w:val="Footer Char"/>
    <w:link w:val="Footer"/>
    <w:rsid w:val="003D2BFB"/>
    <w:rPr>
      <w:rFonts w:ascii="Arial" w:hAnsi="Arial"/>
      <w:sz w:val="24"/>
      <w:szCs w:val="24"/>
      <w:lang w:eastAsia="en-US"/>
    </w:rPr>
  </w:style>
  <w:style w:type="paragraph" w:customStyle="1" w:styleId="ColorfulList-Accent11">
    <w:name w:val="Colorful List - Accent 11"/>
    <w:basedOn w:val="Normal"/>
    <w:uiPriority w:val="34"/>
    <w:qFormat/>
    <w:rsid w:val="003029A7"/>
    <w:pPr>
      <w:ind w:left="720"/>
      <w:contextualSpacing/>
    </w:pPr>
  </w:style>
  <w:style w:type="character" w:customStyle="1" w:styleId="Heading1Char">
    <w:name w:val="Heading 1 Char"/>
    <w:rsid w:val="003610A8"/>
    <w:rPr>
      <w:rFonts w:ascii="Calibri" w:eastAsia="MS Gothic" w:hAnsi="Calibri" w:cs="Times New Roman"/>
      <w:b/>
      <w:bCs/>
      <w:kern w:val="32"/>
      <w:sz w:val="32"/>
      <w:szCs w:val="32"/>
    </w:rPr>
  </w:style>
  <w:style w:type="character" w:customStyle="1" w:styleId="Heading1Char1">
    <w:name w:val="Heading 1 Char1"/>
    <w:aliases w:val="Heading 11 Char"/>
    <w:link w:val="Heading1"/>
    <w:rsid w:val="003610A8"/>
    <w:rPr>
      <w:rFonts w:ascii="Arial" w:eastAsia="Times New Roman" w:hAnsi="Arial"/>
      <w:b/>
      <w:sz w:val="28"/>
      <w:szCs w:val="22"/>
    </w:rPr>
  </w:style>
  <w:style w:type="paragraph" w:styleId="ListParagraph">
    <w:name w:val="List Paragraph"/>
    <w:basedOn w:val="Normal"/>
    <w:uiPriority w:val="34"/>
    <w:qFormat/>
    <w:rsid w:val="004A0A34"/>
    <w:pPr>
      <w:ind w:left="720"/>
      <w:contextualSpacing/>
    </w:pPr>
    <w:rPr>
      <w:rFonts w:eastAsiaTheme="minorEastAsia" w:cstheme="minorBidi"/>
      <w:lang w:eastAsia="ja-JP"/>
    </w:rPr>
  </w:style>
  <w:style w:type="character" w:styleId="PageNumber">
    <w:name w:val="page number"/>
    <w:basedOn w:val="DefaultParagraphFont"/>
    <w:rsid w:val="003C6C75"/>
  </w:style>
  <w:style w:type="paragraph" w:styleId="BodyText">
    <w:name w:val="Body Text"/>
    <w:basedOn w:val="Normal"/>
    <w:link w:val="BodyTextChar"/>
    <w:uiPriority w:val="1"/>
    <w:qFormat/>
    <w:rsid w:val="0029748E"/>
    <w:pPr>
      <w:widowControl w:val="0"/>
      <w:autoSpaceDE w:val="0"/>
      <w:autoSpaceDN w:val="0"/>
      <w:spacing w:after="0"/>
    </w:pPr>
    <w:rPr>
      <w:rFonts w:ascii="Corbel" w:eastAsia="Corbel" w:hAnsi="Corbel" w:cs="Corbel"/>
      <w:sz w:val="22"/>
      <w:szCs w:val="22"/>
      <w:lang w:val="en-US"/>
    </w:rPr>
  </w:style>
  <w:style w:type="character" w:customStyle="1" w:styleId="BodyTextChar">
    <w:name w:val="Body Text Char"/>
    <w:basedOn w:val="DefaultParagraphFont"/>
    <w:link w:val="BodyText"/>
    <w:uiPriority w:val="1"/>
    <w:rsid w:val="0029748E"/>
    <w:rPr>
      <w:rFonts w:ascii="Corbel" w:eastAsia="Corbel" w:hAnsi="Corbel" w:cs="Corbel"/>
      <w:sz w:val="22"/>
      <w:szCs w:val="22"/>
      <w:lang w:val="en-US" w:eastAsia="en-US"/>
    </w:rPr>
  </w:style>
  <w:style w:type="table" w:styleId="TableGrid">
    <w:name w:val="Table Grid"/>
    <w:basedOn w:val="TableNormal"/>
    <w:uiPriority w:val="59"/>
    <w:rsid w:val="0029748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517699"/>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517699"/>
    <w:pPr>
      <w:autoSpaceDE w:val="0"/>
      <w:autoSpaceDN w:val="0"/>
      <w:adjustRightInd w:val="0"/>
    </w:pPr>
    <w:rPr>
      <w:rFonts w:ascii="Humanist" w:eastAsia="Calibri" w:hAnsi="Humanist" w:cs="Humanist"/>
      <w:color w:val="000000"/>
      <w:sz w:val="24"/>
      <w:szCs w:val="24"/>
    </w:rPr>
  </w:style>
  <w:style w:type="paragraph" w:customStyle="1" w:styleId="bullet1">
    <w:name w:val="bullet 1"/>
    <w:basedOn w:val="Normal"/>
    <w:rsid w:val="00517699"/>
    <w:pPr>
      <w:numPr>
        <w:numId w:val="1"/>
      </w:numPr>
      <w:spacing w:after="0"/>
    </w:pPr>
    <w:rPr>
      <w:rFonts w:ascii="Times New Roman" w:eastAsia="MS Mincho" w:hAnsi="Times New Roman"/>
      <w:lang w:eastAsia="ja-JP"/>
    </w:rPr>
  </w:style>
  <w:style w:type="table" w:styleId="TableGridLight">
    <w:name w:val="Grid Table Light"/>
    <w:basedOn w:val="TableNormal"/>
    <w:uiPriority w:val="40"/>
    <w:rsid w:val="00517699"/>
    <w:rPr>
      <w:rFonts w:ascii="Calibri" w:eastAsia="Calibri" w:hAnsi="Calibr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75">
      <w:bodyDiv w:val="1"/>
      <w:marLeft w:val="0"/>
      <w:marRight w:val="0"/>
      <w:marTop w:val="0"/>
      <w:marBottom w:val="0"/>
      <w:divBdr>
        <w:top w:val="none" w:sz="0" w:space="0" w:color="auto"/>
        <w:left w:val="none" w:sz="0" w:space="0" w:color="auto"/>
        <w:bottom w:val="none" w:sz="0" w:space="0" w:color="auto"/>
        <w:right w:val="none" w:sz="0" w:space="0" w:color="auto"/>
      </w:divBdr>
    </w:div>
    <w:div w:id="119764781">
      <w:bodyDiv w:val="1"/>
      <w:marLeft w:val="0"/>
      <w:marRight w:val="0"/>
      <w:marTop w:val="0"/>
      <w:marBottom w:val="0"/>
      <w:divBdr>
        <w:top w:val="none" w:sz="0" w:space="0" w:color="auto"/>
        <w:left w:val="none" w:sz="0" w:space="0" w:color="auto"/>
        <w:bottom w:val="none" w:sz="0" w:space="0" w:color="auto"/>
        <w:right w:val="none" w:sz="0" w:space="0" w:color="auto"/>
      </w:divBdr>
    </w:div>
    <w:div w:id="141166215">
      <w:bodyDiv w:val="1"/>
      <w:marLeft w:val="0"/>
      <w:marRight w:val="0"/>
      <w:marTop w:val="0"/>
      <w:marBottom w:val="0"/>
      <w:divBdr>
        <w:top w:val="none" w:sz="0" w:space="0" w:color="auto"/>
        <w:left w:val="none" w:sz="0" w:space="0" w:color="auto"/>
        <w:bottom w:val="none" w:sz="0" w:space="0" w:color="auto"/>
        <w:right w:val="none" w:sz="0" w:space="0" w:color="auto"/>
      </w:divBdr>
    </w:div>
    <w:div w:id="162624218">
      <w:bodyDiv w:val="1"/>
      <w:marLeft w:val="0"/>
      <w:marRight w:val="0"/>
      <w:marTop w:val="0"/>
      <w:marBottom w:val="0"/>
      <w:divBdr>
        <w:top w:val="none" w:sz="0" w:space="0" w:color="auto"/>
        <w:left w:val="none" w:sz="0" w:space="0" w:color="auto"/>
        <w:bottom w:val="none" w:sz="0" w:space="0" w:color="auto"/>
        <w:right w:val="none" w:sz="0" w:space="0" w:color="auto"/>
      </w:divBdr>
    </w:div>
    <w:div w:id="168253958">
      <w:bodyDiv w:val="1"/>
      <w:marLeft w:val="0"/>
      <w:marRight w:val="0"/>
      <w:marTop w:val="0"/>
      <w:marBottom w:val="0"/>
      <w:divBdr>
        <w:top w:val="none" w:sz="0" w:space="0" w:color="auto"/>
        <w:left w:val="none" w:sz="0" w:space="0" w:color="auto"/>
        <w:bottom w:val="none" w:sz="0" w:space="0" w:color="auto"/>
        <w:right w:val="none" w:sz="0" w:space="0" w:color="auto"/>
      </w:divBdr>
    </w:div>
    <w:div w:id="175047835">
      <w:bodyDiv w:val="1"/>
      <w:marLeft w:val="0"/>
      <w:marRight w:val="0"/>
      <w:marTop w:val="0"/>
      <w:marBottom w:val="0"/>
      <w:divBdr>
        <w:top w:val="none" w:sz="0" w:space="0" w:color="auto"/>
        <w:left w:val="none" w:sz="0" w:space="0" w:color="auto"/>
        <w:bottom w:val="none" w:sz="0" w:space="0" w:color="auto"/>
        <w:right w:val="none" w:sz="0" w:space="0" w:color="auto"/>
      </w:divBdr>
    </w:div>
    <w:div w:id="211159586">
      <w:bodyDiv w:val="1"/>
      <w:marLeft w:val="0"/>
      <w:marRight w:val="0"/>
      <w:marTop w:val="0"/>
      <w:marBottom w:val="0"/>
      <w:divBdr>
        <w:top w:val="none" w:sz="0" w:space="0" w:color="auto"/>
        <w:left w:val="none" w:sz="0" w:space="0" w:color="auto"/>
        <w:bottom w:val="none" w:sz="0" w:space="0" w:color="auto"/>
        <w:right w:val="none" w:sz="0" w:space="0" w:color="auto"/>
      </w:divBdr>
    </w:div>
    <w:div w:id="230967847">
      <w:bodyDiv w:val="1"/>
      <w:marLeft w:val="0"/>
      <w:marRight w:val="0"/>
      <w:marTop w:val="0"/>
      <w:marBottom w:val="0"/>
      <w:divBdr>
        <w:top w:val="none" w:sz="0" w:space="0" w:color="auto"/>
        <w:left w:val="none" w:sz="0" w:space="0" w:color="auto"/>
        <w:bottom w:val="none" w:sz="0" w:space="0" w:color="auto"/>
        <w:right w:val="none" w:sz="0" w:space="0" w:color="auto"/>
      </w:divBdr>
    </w:div>
    <w:div w:id="248544110">
      <w:bodyDiv w:val="1"/>
      <w:marLeft w:val="0"/>
      <w:marRight w:val="0"/>
      <w:marTop w:val="0"/>
      <w:marBottom w:val="0"/>
      <w:divBdr>
        <w:top w:val="none" w:sz="0" w:space="0" w:color="auto"/>
        <w:left w:val="none" w:sz="0" w:space="0" w:color="auto"/>
        <w:bottom w:val="none" w:sz="0" w:space="0" w:color="auto"/>
        <w:right w:val="none" w:sz="0" w:space="0" w:color="auto"/>
      </w:divBdr>
    </w:div>
    <w:div w:id="275526765">
      <w:bodyDiv w:val="1"/>
      <w:marLeft w:val="0"/>
      <w:marRight w:val="0"/>
      <w:marTop w:val="0"/>
      <w:marBottom w:val="0"/>
      <w:divBdr>
        <w:top w:val="none" w:sz="0" w:space="0" w:color="auto"/>
        <w:left w:val="none" w:sz="0" w:space="0" w:color="auto"/>
        <w:bottom w:val="none" w:sz="0" w:space="0" w:color="auto"/>
        <w:right w:val="none" w:sz="0" w:space="0" w:color="auto"/>
      </w:divBdr>
    </w:div>
    <w:div w:id="292100036">
      <w:bodyDiv w:val="1"/>
      <w:marLeft w:val="0"/>
      <w:marRight w:val="0"/>
      <w:marTop w:val="0"/>
      <w:marBottom w:val="0"/>
      <w:divBdr>
        <w:top w:val="none" w:sz="0" w:space="0" w:color="auto"/>
        <w:left w:val="none" w:sz="0" w:space="0" w:color="auto"/>
        <w:bottom w:val="none" w:sz="0" w:space="0" w:color="auto"/>
        <w:right w:val="none" w:sz="0" w:space="0" w:color="auto"/>
      </w:divBdr>
    </w:div>
    <w:div w:id="319240517">
      <w:bodyDiv w:val="1"/>
      <w:marLeft w:val="0"/>
      <w:marRight w:val="0"/>
      <w:marTop w:val="0"/>
      <w:marBottom w:val="0"/>
      <w:divBdr>
        <w:top w:val="none" w:sz="0" w:space="0" w:color="auto"/>
        <w:left w:val="none" w:sz="0" w:space="0" w:color="auto"/>
        <w:bottom w:val="none" w:sz="0" w:space="0" w:color="auto"/>
        <w:right w:val="none" w:sz="0" w:space="0" w:color="auto"/>
      </w:divBdr>
    </w:div>
    <w:div w:id="349990376">
      <w:bodyDiv w:val="1"/>
      <w:marLeft w:val="0"/>
      <w:marRight w:val="0"/>
      <w:marTop w:val="0"/>
      <w:marBottom w:val="0"/>
      <w:divBdr>
        <w:top w:val="none" w:sz="0" w:space="0" w:color="auto"/>
        <w:left w:val="none" w:sz="0" w:space="0" w:color="auto"/>
        <w:bottom w:val="none" w:sz="0" w:space="0" w:color="auto"/>
        <w:right w:val="none" w:sz="0" w:space="0" w:color="auto"/>
      </w:divBdr>
    </w:div>
    <w:div w:id="351304405">
      <w:bodyDiv w:val="1"/>
      <w:marLeft w:val="0"/>
      <w:marRight w:val="0"/>
      <w:marTop w:val="0"/>
      <w:marBottom w:val="0"/>
      <w:divBdr>
        <w:top w:val="none" w:sz="0" w:space="0" w:color="auto"/>
        <w:left w:val="none" w:sz="0" w:space="0" w:color="auto"/>
        <w:bottom w:val="none" w:sz="0" w:space="0" w:color="auto"/>
        <w:right w:val="none" w:sz="0" w:space="0" w:color="auto"/>
      </w:divBdr>
    </w:div>
    <w:div w:id="397098010">
      <w:bodyDiv w:val="1"/>
      <w:marLeft w:val="0"/>
      <w:marRight w:val="0"/>
      <w:marTop w:val="0"/>
      <w:marBottom w:val="0"/>
      <w:divBdr>
        <w:top w:val="none" w:sz="0" w:space="0" w:color="auto"/>
        <w:left w:val="none" w:sz="0" w:space="0" w:color="auto"/>
        <w:bottom w:val="none" w:sz="0" w:space="0" w:color="auto"/>
        <w:right w:val="none" w:sz="0" w:space="0" w:color="auto"/>
      </w:divBdr>
    </w:div>
    <w:div w:id="399638864">
      <w:bodyDiv w:val="1"/>
      <w:marLeft w:val="0"/>
      <w:marRight w:val="0"/>
      <w:marTop w:val="0"/>
      <w:marBottom w:val="0"/>
      <w:divBdr>
        <w:top w:val="none" w:sz="0" w:space="0" w:color="auto"/>
        <w:left w:val="none" w:sz="0" w:space="0" w:color="auto"/>
        <w:bottom w:val="none" w:sz="0" w:space="0" w:color="auto"/>
        <w:right w:val="none" w:sz="0" w:space="0" w:color="auto"/>
      </w:divBdr>
    </w:div>
    <w:div w:id="508258477">
      <w:bodyDiv w:val="1"/>
      <w:marLeft w:val="0"/>
      <w:marRight w:val="0"/>
      <w:marTop w:val="0"/>
      <w:marBottom w:val="0"/>
      <w:divBdr>
        <w:top w:val="none" w:sz="0" w:space="0" w:color="auto"/>
        <w:left w:val="none" w:sz="0" w:space="0" w:color="auto"/>
        <w:bottom w:val="none" w:sz="0" w:space="0" w:color="auto"/>
        <w:right w:val="none" w:sz="0" w:space="0" w:color="auto"/>
      </w:divBdr>
    </w:div>
    <w:div w:id="534119949">
      <w:bodyDiv w:val="1"/>
      <w:marLeft w:val="0"/>
      <w:marRight w:val="0"/>
      <w:marTop w:val="0"/>
      <w:marBottom w:val="0"/>
      <w:divBdr>
        <w:top w:val="none" w:sz="0" w:space="0" w:color="auto"/>
        <w:left w:val="none" w:sz="0" w:space="0" w:color="auto"/>
        <w:bottom w:val="none" w:sz="0" w:space="0" w:color="auto"/>
        <w:right w:val="none" w:sz="0" w:space="0" w:color="auto"/>
      </w:divBdr>
    </w:div>
    <w:div w:id="577447697">
      <w:bodyDiv w:val="1"/>
      <w:marLeft w:val="0"/>
      <w:marRight w:val="0"/>
      <w:marTop w:val="0"/>
      <w:marBottom w:val="0"/>
      <w:divBdr>
        <w:top w:val="none" w:sz="0" w:space="0" w:color="auto"/>
        <w:left w:val="none" w:sz="0" w:space="0" w:color="auto"/>
        <w:bottom w:val="none" w:sz="0" w:space="0" w:color="auto"/>
        <w:right w:val="none" w:sz="0" w:space="0" w:color="auto"/>
      </w:divBdr>
    </w:div>
    <w:div w:id="581185060">
      <w:bodyDiv w:val="1"/>
      <w:marLeft w:val="0"/>
      <w:marRight w:val="0"/>
      <w:marTop w:val="0"/>
      <w:marBottom w:val="0"/>
      <w:divBdr>
        <w:top w:val="none" w:sz="0" w:space="0" w:color="auto"/>
        <w:left w:val="none" w:sz="0" w:space="0" w:color="auto"/>
        <w:bottom w:val="none" w:sz="0" w:space="0" w:color="auto"/>
        <w:right w:val="none" w:sz="0" w:space="0" w:color="auto"/>
      </w:divBdr>
    </w:div>
    <w:div w:id="663557006">
      <w:bodyDiv w:val="1"/>
      <w:marLeft w:val="0"/>
      <w:marRight w:val="0"/>
      <w:marTop w:val="0"/>
      <w:marBottom w:val="0"/>
      <w:divBdr>
        <w:top w:val="none" w:sz="0" w:space="0" w:color="auto"/>
        <w:left w:val="none" w:sz="0" w:space="0" w:color="auto"/>
        <w:bottom w:val="none" w:sz="0" w:space="0" w:color="auto"/>
        <w:right w:val="none" w:sz="0" w:space="0" w:color="auto"/>
      </w:divBdr>
    </w:div>
    <w:div w:id="677930479">
      <w:bodyDiv w:val="1"/>
      <w:marLeft w:val="0"/>
      <w:marRight w:val="0"/>
      <w:marTop w:val="0"/>
      <w:marBottom w:val="0"/>
      <w:divBdr>
        <w:top w:val="none" w:sz="0" w:space="0" w:color="auto"/>
        <w:left w:val="none" w:sz="0" w:space="0" w:color="auto"/>
        <w:bottom w:val="none" w:sz="0" w:space="0" w:color="auto"/>
        <w:right w:val="none" w:sz="0" w:space="0" w:color="auto"/>
      </w:divBdr>
    </w:div>
    <w:div w:id="716976491">
      <w:bodyDiv w:val="1"/>
      <w:marLeft w:val="0"/>
      <w:marRight w:val="0"/>
      <w:marTop w:val="0"/>
      <w:marBottom w:val="0"/>
      <w:divBdr>
        <w:top w:val="none" w:sz="0" w:space="0" w:color="auto"/>
        <w:left w:val="none" w:sz="0" w:space="0" w:color="auto"/>
        <w:bottom w:val="none" w:sz="0" w:space="0" w:color="auto"/>
        <w:right w:val="none" w:sz="0" w:space="0" w:color="auto"/>
      </w:divBdr>
    </w:div>
    <w:div w:id="756292703">
      <w:bodyDiv w:val="1"/>
      <w:marLeft w:val="0"/>
      <w:marRight w:val="0"/>
      <w:marTop w:val="0"/>
      <w:marBottom w:val="0"/>
      <w:divBdr>
        <w:top w:val="none" w:sz="0" w:space="0" w:color="auto"/>
        <w:left w:val="none" w:sz="0" w:space="0" w:color="auto"/>
        <w:bottom w:val="none" w:sz="0" w:space="0" w:color="auto"/>
        <w:right w:val="none" w:sz="0" w:space="0" w:color="auto"/>
      </w:divBdr>
    </w:div>
    <w:div w:id="773092344">
      <w:bodyDiv w:val="1"/>
      <w:marLeft w:val="0"/>
      <w:marRight w:val="0"/>
      <w:marTop w:val="0"/>
      <w:marBottom w:val="0"/>
      <w:divBdr>
        <w:top w:val="none" w:sz="0" w:space="0" w:color="auto"/>
        <w:left w:val="none" w:sz="0" w:space="0" w:color="auto"/>
        <w:bottom w:val="none" w:sz="0" w:space="0" w:color="auto"/>
        <w:right w:val="none" w:sz="0" w:space="0" w:color="auto"/>
      </w:divBdr>
    </w:div>
    <w:div w:id="797260027">
      <w:bodyDiv w:val="1"/>
      <w:marLeft w:val="0"/>
      <w:marRight w:val="0"/>
      <w:marTop w:val="0"/>
      <w:marBottom w:val="0"/>
      <w:divBdr>
        <w:top w:val="none" w:sz="0" w:space="0" w:color="auto"/>
        <w:left w:val="none" w:sz="0" w:space="0" w:color="auto"/>
        <w:bottom w:val="none" w:sz="0" w:space="0" w:color="auto"/>
        <w:right w:val="none" w:sz="0" w:space="0" w:color="auto"/>
      </w:divBdr>
    </w:div>
    <w:div w:id="822359481">
      <w:bodyDiv w:val="1"/>
      <w:marLeft w:val="0"/>
      <w:marRight w:val="0"/>
      <w:marTop w:val="0"/>
      <w:marBottom w:val="0"/>
      <w:divBdr>
        <w:top w:val="none" w:sz="0" w:space="0" w:color="auto"/>
        <w:left w:val="none" w:sz="0" w:space="0" w:color="auto"/>
        <w:bottom w:val="none" w:sz="0" w:space="0" w:color="auto"/>
        <w:right w:val="none" w:sz="0" w:space="0" w:color="auto"/>
      </w:divBdr>
    </w:div>
    <w:div w:id="839469202">
      <w:bodyDiv w:val="1"/>
      <w:marLeft w:val="0"/>
      <w:marRight w:val="0"/>
      <w:marTop w:val="0"/>
      <w:marBottom w:val="0"/>
      <w:divBdr>
        <w:top w:val="none" w:sz="0" w:space="0" w:color="auto"/>
        <w:left w:val="none" w:sz="0" w:space="0" w:color="auto"/>
        <w:bottom w:val="none" w:sz="0" w:space="0" w:color="auto"/>
        <w:right w:val="none" w:sz="0" w:space="0" w:color="auto"/>
      </w:divBdr>
    </w:div>
    <w:div w:id="843907110">
      <w:bodyDiv w:val="1"/>
      <w:marLeft w:val="0"/>
      <w:marRight w:val="0"/>
      <w:marTop w:val="0"/>
      <w:marBottom w:val="0"/>
      <w:divBdr>
        <w:top w:val="none" w:sz="0" w:space="0" w:color="auto"/>
        <w:left w:val="none" w:sz="0" w:space="0" w:color="auto"/>
        <w:bottom w:val="none" w:sz="0" w:space="0" w:color="auto"/>
        <w:right w:val="none" w:sz="0" w:space="0" w:color="auto"/>
      </w:divBdr>
    </w:div>
    <w:div w:id="854152298">
      <w:bodyDiv w:val="1"/>
      <w:marLeft w:val="0"/>
      <w:marRight w:val="0"/>
      <w:marTop w:val="0"/>
      <w:marBottom w:val="0"/>
      <w:divBdr>
        <w:top w:val="none" w:sz="0" w:space="0" w:color="auto"/>
        <w:left w:val="none" w:sz="0" w:space="0" w:color="auto"/>
        <w:bottom w:val="none" w:sz="0" w:space="0" w:color="auto"/>
        <w:right w:val="none" w:sz="0" w:space="0" w:color="auto"/>
      </w:divBdr>
    </w:div>
    <w:div w:id="917401708">
      <w:bodyDiv w:val="1"/>
      <w:marLeft w:val="0"/>
      <w:marRight w:val="0"/>
      <w:marTop w:val="0"/>
      <w:marBottom w:val="0"/>
      <w:divBdr>
        <w:top w:val="none" w:sz="0" w:space="0" w:color="auto"/>
        <w:left w:val="none" w:sz="0" w:space="0" w:color="auto"/>
        <w:bottom w:val="none" w:sz="0" w:space="0" w:color="auto"/>
        <w:right w:val="none" w:sz="0" w:space="0" w:color="auto"/>
      </w:divBdr>
    </w:div>
    <w:div w:id="925652348">
      <w:bodyDiv w:val="1"/>
      <w:marLeft w:val="0"/>
      <w:marRight w:val="0"/>
      <w:marTop w:val="0"/>
      <w:marBottom w:val="0"/>
      <w:divBdr>
        <w:top w:val="none" w:sz="0" w:space="0" w:color="auto"/>
        <w:left w:val="none" w:sz="0" w:space="0" w:color="auto"/>
        <w:bottom w:val="none" w:sz="0" w:space="0" w:color="auto"/>
        <w:right w:val="none" w:sz="0" w:space="0" w:color="auto"/>
      </w:divBdr>
    </w:div>
    <w:div w:id="935164641">
      <w:bodyDiv w:val="1"/>
      <w:marLeft w:val="0"/>
      <w:marRight w:val="0"/>
      <w:marTop w:val="0"/>
      <w:marBottom w:val="0"/>
      <w:divBdr>
        <w:top w:val="none" w:sz="0" w:space="0" w:color="auto"/>
        <w:left w:val="none" w:sz="0" w:space="0" w:color="auto"/>
        <w:bottom w:val="none" w:sz="0" w:space="0" w:color="auto"/>
        <w:right w:val="none" w:sz="0" w:space="0" w:color="auto"/>
      </w:divBdr>
    </w:div>
    <w:div w:id="942877686">
      <w:bodyDiv w:val="1"/>
      <w:marLeft w:val="0"/>
      <w:marRight w:val="0"/>
      <w:marTop w:val="0"/>
      <w:marBottom w:val="0"/>
      <w:divBdr>
        <w:top w:val="none" w:sz="0" w:space="0" w:color="auto"/>
        <w:left w:val="none" w:sz="0" w:space="0" w:color="auto"/>
        <w:bottom w:val="none" w:sz="0" w:space="0" w:color="auto"/>
        <w:right w:val="none" w:sz="0" w:space="0" w:color="auto"/>
      </w:divBdr>
    </w:div>
    <w:div w:id="977958720">
      <w:bodyDiv w:val="1"/>
      <w:marLeft w:val="0"/>
      <w:marRight w:val="0"/>
      <w:marTop w:val="0"/>
      <w:marBottom w:val="0"/>
      <w:divBdr>
        <w:top w:val="none" w:sz="0" w:space="0" w:color="auto"/>
        <w:left w:val="none" w:sz="0" w:space="0" w:color="auto"/>
        <w:bottom w:val="none" w:sz="0" w:space="0" w:color="auto"/>
        <w:right w:val="none" w:sz="0" w:space="0" w:color="auto"/>
      </w:divBdr>
    </w:div>
    <w:div w:id="1009870969">
      <w:bodyDiv w:val="1"/>
      <w:marLeft w:val="0"/>
      <w:marRight w:val="0"/>
      <w:marTop w:val="0"/>
      <w:marBottom w:val="0"/>
      <w:divBdr>
        <w:top w:val="none" w:sz="0" w:space="0" w:color="auto"/>
        <w:left w:val="none" w:sz="0" w:space="0" w:color="auto"/>
        <w:bottom w:val="none" w:sz="0" w:space="0" w:color="auto"/>
        <w:right w:val="none" w:sz="0" w:space="0" w:color="auto"/>
      </w:divBdr>
    </w:div>
    <w:div w:id="1038820897">
      <w:bodyDiv w:val="1"/>
      <w:marLeft w:val="0"/>
      <w:marRight w:val="0"/>
      <w:marTop w:val="0"/>
      <w:marBottom w:val="0"/>
      <w:divBdr>
        <w:top w:val="none" w:sz="0" w:space="0" w:color="auto"/>
        <w:left w:val="none" w:sz="0" w:space="0" w:color="auto"/>
        <w:bottom w:val="none" w:sz="0" w:space="0" w:color="auto"/>
        <w:right w:val="none" w:sz="0" w:space="0" w:color="auto"/>
      </w:divBdr>
    </w:div>
    <w:div w:id="1058437003">
      <w:bodyDiv w:val="1"/>
      <w:marLeft w:val="0"/>
      <w:marRight w:val="0"/>
      <w:marTop w:val="0"/>
      <w:marBottom w:val="0"/>
      <w:divBdr>
        <w:top w:val="none" w:sz="0" w:space="0" w:color="auto"/>
        <w:left w:val="none" w:sz="0" w:space="0" w:color="auto"/>
        <w:bottom w:val="none" w:sz="0" w:space="0" w:color="auto"/>
        <w:right w:val="none" w:sz="0" w:space="0" w:color="auto"/>
      </w:divBdr>
    </w:div>
    <w:div w:id="1067263399">
      <w:bodyDiv w:val="1"/>
      <w:marLeft w:val="0"/>
      <w:marRight w:val="0"/>
      <w:marTop w:val="0"/>
      <w:marBottom w:val="0"/>
      <w:divBdr>
        <w:top w:val="none" w:sz="0" w:space="0" w:color="auto"/>
        <w:left w:val="none" w:sz="0" w:space="0" w:color="auto"/>
        <w:bottom w:val="none" w:sz="0" w:space="0" w:color="auto"/>
        <w:right w:val="none" w:sz="0" w:space="0" w:color="auto"/>
      </w:divBdr>
    </w:div>
    <w:div w:id="1088233041">
      <w:bodyDiv w:val="1"/>
      <w:marLeft w:val="0"/>
      <w:marRight w:val="0"/>
      <w:marTop w:val="0"/>
      <w:marBottom w:val="0"/>
      <w:divBdr>
        <w:top w:val="none" w:sz="0" w:space="0" w:color="auto"/>
        <w:left w:val="none" w:sz="0" w:space="0" w:color="auto"/>
        <w:bottom w:val="none" w:sz="0" w:space="0" w:color="auto"/>
        <w:right w:val="none" w:sz="0" w:space="0" w:color="auto"/>
      </w:divBdr>
    </w:div>
    <w:div w:id="1096679552">
      <w:bodyDiv w:val="1"/>
      <w:marLeft w:val="0"/>
      <w:marRight w:val="0"/>
      <w:marTop w:val="0"/>
      <w:marBottom w:val="0"/>
      <w:divBdr>
        <w:top w:val="none" w:sz="0" w:space="0" w:color="auto"/>
        <w:left w:val="none" w:sz="0" w:space="0" w:color="auto"/>
        <w:bottom w:val="none" w:sz="0" w:space="0" w:color="auto"/>
        <w:right w:val="none" w:sz="0" w:space="0" w:color="auto"/>
      </w:divBdr>
    </w:div>
    <w:div w:id="1097480525">
      <w:bodyDiv w:val="1"/>
      <w:marLeft w:val="0"/>
      <w:marRight w:val="0"/>
      <w:marTop w:val="0"/>
      <w:marBottom w:val="0"/>
      <w:divBdr>
        <w:top w:val="none" w:sz="0" w:space="0" w:color="auto"/>
        <w:left w:val="none" w:sz="0" w:space="0" w:color="auto"/>
        <w:bottom w:val="none" w:sz="0" w:space="0" w:color="auto"/>
        <w:right w:val="none" w:sz="0" w:space="0" w:color="auto"/>
      </w:divBdr>
    </w:div>
    <w:div w:id="1115636841">
      <w:bodyDiv w:val="1"/>
      <w:marLeft w:val="0"/>
      <w:marRight w:val="0"/>
      <w:marTop w:val="0"/>
      <w:marBottom w:val="0"/>
      <w:divBdr>
        <w:top w:val="none" w:sz="0" w:space="0" w:color="auto"/>
        <w:left w:val="none" w:sz="0" w:space="0" w:color="auto"/>
        <w:bottom w:val="none" w:sz="0" w:space="0" w:color="auto"/>
        <w:right w:val="none" w:sz="0" w:space="0" w:color="auto"/>
      </w:divBdr>
    </w:div>
    <w:div w:id="1120763258">
      <w:bodyDiv w:val="1"/>
      <w:marLeft w:val="0"/>
      <w:marRight w:val="0"/>
      <w:marTop w:val="0"/>
      <w:marBottom w:val="0"/>
      <w:divBdr>
        <w:top w:val="none" w:sz="0" w:space="0" w:color="auto"/>
        <w:left w:val="none" w:sz="0" w:space="0" w:color="auto"/>
        <w:bottom w:val="none" w:sz="0" w:space="0" w:color="auto"/>
        <w:right w:val="none" w:sz="0" w:space="0" w:color="auto"/>
      </w:divBdr>
    </w:div>
    <w:div w:id="1126000981">
      <w:bodyDiv w:val="1"/>
      <w:marLeft w:val="0"/>
      <w:marRight w:val="0"/>
      <w:marTop w:val="0"/>
      <w:marBottom w:val="0"/>
      <w:divBdr>
        <w:top w:val="none" w:sz="0" w:space="0" w:color="auto"/>
        <w:left w:val="none" w:sz="0" w:space="0" w:color="auto"/>
        <w:bottom w:val="none" w:sz="0" w:space="0" w:color="auto"/>
        <w:right w:val="none" w:sz="0" w:space="0" w:color="auto"/>
      </w:divBdr>
    </w:div>
    <w:div w:id="1148133086">
      <w:bodyDiv w:val="1"/>
      <w:marLeft w:val="0"/>
      <w:marRight w:val="0"/>
      <w:marTop w:val="0"/>
      <w:marBottom w:val="0"/>
      <w:divBdr>
        <w:top w:val="none" w:sz="0" w:space="0" w:color="auto"/>
        <w:left w:val="none" w:sz="0" w:space="0" w:color="auto"/>
        <w:bottom w:val="none" w:sz="0" w:space="0" w:color="auto"/>
        <w:right w:val="none" w:sz="0" w:space="0" w:color="auto"/>
      </w:divBdr>
    </w:div>
    <w:div w:id="1148323703">
      <w:bodyDiv w:val="1"/>
      <w:marLeft w:val="0"/>
      <w:marRight w:val="0"/>
      <w:marTop w:val="0"/>
      <w:marBottom w:val="0"/>
      <w:divBdr>
        <w:top w:val="none" w:sz="0" w:space="0" w:color="auto"/>
        <w:left w:val="none" w:sz="0" w:space="0" w:color="auto"/>
        <w:bottom w:val="none" w:sz="0" w:space="0" w:color="auto"/>
        <w:right w:val="none" w:sz="0" w:space="0" w:color="auto"/>
      </w:divBdr>
    </w:div>
    <w:div w:id="1150050624">
      <w:bodyDiv w:val="1"/>
      <w:marLeft w:val="0"/>
      <w:marRight w:val="0"/>
      <w:marTop w:val="0"/>
      <w:marBottom w:val="0"/>
      <w:divBdr>
        <w:top w:val="none" w:sz="0" w:space="0" w:color="auto"/>
        <w:left w:val="none" w:sz="0" w:space="0" w:color="auto"/>
        <w:bottom w:val="none" w:sz="0" w:space="0" w:color="auto"/>
        <w:right w:val="none" w:sz="0" w:space="0" w:color="auto"/>
      </w:divBdr>
    </w:div>
    <w:div w:id="1168792032">
      <w:bodyDiv w:val="1"/>
      <w:marLeft w:val="0"/>
      <w:marRight w:val="0"/>
      <w:marTop w:val="0"/>
      <w:marBottom w:val="0"/>
      <w:divBdr>
        <w:top w:val="none" w:sz="0" w:space="0" w:color="auto"/>
        <w:left w:val="none" w:sz="0" w:space="0" w:color="auto"/>
        <w:bottom w:val="none" w:sz="0" w:space="0" w:color="auto"/>
        <w:right w:val="none" w:sz="0" w:space="0" w:color="auto"/>
      </w:divBdr>
    </w:div>
    <w:div w:id="1172723768">
      <w:bodyDiv w:val="1"/>
      <w:marLeft w:val="0"/>
      <w:marRight w:val="0"/>
      <w:marTop w:val="0"/>
      <w:marBottom w:val="0"/>
      <w:divBdr>
        <w:top w:val="none" w:sz="0" w:space="0" w:color="auto"/>
        <w:left w:val="none" w:sz="0" w:space="0" w:color="auto"/>
        <w:bottom w:val="none" w:sz="0" w:space="0" w:color="auto"/>
        <w:right w:val="none" w:sz="0" w:space="0" w:color="auto"/>
      </w:divBdr>
    </w:div>
    <w:div w:id="1174807547">
      <w:bodyDiv w:val="1"/>
      <w:marLeft w:val="0"/>
      <w:marRight w:val="0"/>
      <w:marTop w:val="0"/>
      <w:marBottom w:val="0"/>
      <w:divBdr>
        <w:top w:val="none" w:sz="0" w:space="0" w:color="auto"/>
        <w:left w:val="none" w:sz="0" w:space="0" w:color="auto"/>
        <w:bottom w:val="none" w:sz="0" w:space="0" w:color="auto"/>
        <w:right w:val="none" w:sz="0" w:space="0" w:color="auto"/>
      </w:divBdr>
    </w:div>
    <w:div w:id="1226143760">
      <w:bodyDiv w:val="1"/>
      <w:marLeft w:val="0"/>
      <w:marRight w:val="0"/>
      <w:marTop w:val="0"/>
      <w:marBottom w:val="0"/>
      <w:divBdr>
        <w:top w:val="none" w:sz="0" w:space="0" w:color="auto"/>
        <w:left w:val="none" w:sz="0" w:space="0" w:color="auto"/>
        <w:bottom w:val="none" w:sz="0" w:space="0" w:color="auto"/>
        <w:right w:val="none" w:sz="0" w:space="0" w:color="auto"/>
      </w:divBdr>
    </w:div>
    <w:div w:id="1229455780">
      <w:bodyDiv w:val="1"/>
      <w:marLeft w:val="0"/>
      <w:marRight w:val="0"/>
      <w:marTop w:val="0"/>
      <w:marBottom w:val="0"/>
      <w:divBdr>
        <w:top w:val="none" w:sz="0" w:space="0" w:color="auto"/>
        <w:left w:val="none" w:sz="0" w:space="0" w:color="auto"/>
        <w:bottom w:val="none" w:sz="0" w:space="0" w:color="auto"/>
        <w:right w:val="none" w:sz="0" w:space="0" w:color="auto"/>
      </w:divBdr>
    </w:div>
    <w:div w:id="1283069810">
      <w:bodyDiv w:val="1"/>
      <w:marLeft w:val="0"/>
      <w:marRight w:val="0"/>
      <w:marTop w:val="0"/>
      <w:marBottom w:val="0"/>
      <w:divBdr>
        <w:top w:val="none" w:sz="0" w:space="0" w:color="auto"/>
        <w:left w:val="none" w:sz="0" w:space="0" w:color="auto"/>
        <w:bottom w:val="none" w:sz="0" w:space="0" w:color="auto"/>
        <w:right w:val="none" w:sz="0" w:space="0" w:color="auto"/>
      </w:divBdr>
    </w:div>
    <w:div w:id="1295402796">
      <w:bodyDiv w:val="1"/>
      <w:marLeft w:val="0"/>
      <w:marRight w:val="0"/>
      <w:marTop w:val="0"/>
      <w:marBottom w:val="0"/>
      <w:divBdr>
        <w:top w:val="none" w:sz="0" w:space="0" w:color="auto"/>
        <w:left w:val="none" w:sz="0" w:space="0" w:color="auto"/>
        <w:bottom w:val="none" w:sz="0" w:space="0" w:color="auto"/>
        <w:right w:val="none" w:sz="0" w:space="0" w:color="auto"/>
      </w:divBdr>
    </w:div>
    <w:div w:id="1301568425">
      <w:bodyDiv w:val="1"/>
      <w:marLeft w:val="0"/>
      <w:marRight w:val="0"/>
      <w:marTop w:val="0"/>
      <w:marBottom w:val="0"/>
      <w:divBdr>
        <w:top w:val="none" w:sz="0" w:space="0" w:color="auto"/>
        <w:left w:val="none" w:sz="0" w:space="0" w:color="auto"/>
        <w:bottom w:val="none" w:sz="0" w:space="0" w:color="auto"/>
        <w:right w:val="none" w:sz="0" w:space="0" w:color="auto"/>
      </w:divBdr>
    </w:div>
    <w:div w:id="1301810319">
      <w:bodyDiv w:val="1"/>
      <w:marLeft w:val="0"/>
      <w:marRight w:val="0"/>
      <w:marTop w:val="0"/>
      <w:marBottom w:val="0"/>
      <w:divBdr>
        <w:top w:val="none" w:sz="0" w:space="0" w:color="auto"/>
        <w:left w:val="none" w:sz="0" w:space="0" w:color="auto"/>
        <w:bottom w:val="none" w:sz="0" w:space="0" w:color="auto"/>
        <w:right w:val="none" w:sz="0" w:space="0" w:color="auto"/>
      </w:divBdr>
    </w:div>
    <w:div w:id="1303391830">
      <w:bodyDiv w:val="1"/>
      <w:marLeft w:val="0"/>
      <w:marRight w:val="0"/>
      <w:marTop w:val="0"/>
      <w:marBottom w:val="0"/>
      <w:divBdr>
        <w:top w:val="none" w:sz="0" w:space="0" w:color="auto"/>
        <w:left w:val="none" w:sz="0" w:space="0" w:color="auto"/>
        <w:bottom w:val="none" w:sz="0" w:space="0" w:color="auto"/>
        <w:right w:val="none" w:sz="0" w:space="0" w:color="auto"/>
      </w:divBdr>
    </w:div>
    <w:div w:id="1336491029">
      <w:bodyDiv w:val="1"/>
      <w:marLeft w:val="0"/>
      <w:marRight w:val="0"/>
      <w:marTop w:val="0"/>
      <w:marBottom w:val="0"/>
      <w:divBdr>
        <w:top w:val="none" w:sz="0" w:space="0" w:color="auto"/>
        <w:left w:val="none" w:sz="0" w:space="0" w:color="auto"/>
        <w:bottom w:val="none" w:sz="0" w:space="0" w:color="auto"/>
        <w:right w:val="none" w:sz="0" w:space="0" w:color="auto"/>
      </w:divBdr>
    </w:div>
    <w:div w:id="1346781891">
      <w:bodyDiv w:val="1"/>
      <w:marLeft w:val="0"/>
      <w:marRight w:val="0"/>
      <w:marTop w:val="0"/>
      <w:marBottom w:val="0"/>
      <w:divBdr>
        <w:top w:val="none" w:sz="0" w:space="0" w:color="auto"/>
        <w:left w:val="none" w:sz="0" w:space="0" w:color="auto"/>
        <w:bottom w:val="none" w:sz="0" w:space="0" w:color="auto"/>
        <w:right w:val="none" w:sz="0" w:space="0" w:color="auto"/>
      </w:divBdr>
    </w:div>
    <w:div w:id="1360886817">
      <w:bodyDiv w:val="1"/>
      <w:marLeft w:val="0"/>
      <w:marRight w:val="0"/>
      <w:marTop w:val="0"/>
      <w:marBottom w:val="0"/>
      <w:divBdr>
        <w:top w:val="none" w:sz="0" w:space="0" w:color="auto"/>
        <w:left w:val="none" w:sz="0" w:space="0" w:color="auto"/>
        <w:bottom w:val="none" w:sz="0" w:space="0" w:color="auto"/>
        <w:right w:val="none" w:sz="0" w:space="0" w:color="auto"/>
      </w:divBdr>
    </w:div>
    <w:div w:id="1361473015">
      <w:bodyDiv w:val="1"/>
      <w:marLeft w:val="0"/>
      <w:marRight w:val="0"/>
      <w:marTop w:val="0"/>
      <w:marBottom w:val="0"/>
      <w:divBdr>
        <w:top w:val="none" w:sz="0" w:space="0" w:color="auto"/>
        <w:left w:val="none" w:sz="0" w:space="0" w:color="auto"/>
        <w:bottom w:val="none" w:sz="0" w:space="0" w:color="auto"/>
        <w:right w:val="none" w:sz="0" w:space="0" w:color="auto"/>
      </w:divBdr>
    </w:div>
    <w:div w:id="1415935735">
      <w:bodyDiv w:val="1"/>
      <w:marLeft w:val="0"/>
      <w:marRight w:val="0"/>
      <w:marTop w:val="0"/>
      <w:marBottom w:val="0"/>
      <w:divBdr>
        <w:top w:val="none" w:sz="0" w:space="0" w:color="auto"/>
        <w:left w:val="none" w:sz="0" w:space="0" w:color="auto"/>
        <w:bottom w:val="none" w:sz="0" w:space="0" w:color="auto"/>
        <w:right w:val="none" w:sz="0" w:space="0" w:color="auto"/>
      </w:divBdr>
    </w:div>
    <w:div w:id="1426726699">
      <w:bodyDiv w:val="1"/>
      <w:marLeft w:val="0"/>
      <w:marRight w:val="0"/>
      <w:marTop w:val="0"/>
      <w:marBottom w:val="0"/>
      <w:divBdr>
        <w:top w:val="none" w:sz="0" w:space="0" w:color="auto"/>
        <w:left w:val="none" w:sz="0" w:space="0" w:color="auto"/>
        <w:bottom w:val="none" w:sz="0" w:space="0" w:color="auto"/>
        <w:right w:val="none" w:sz="0" w:space="0" w:color="auto"/>
      </w:divBdr>
    </w:div>
    <w:div w:id="1484422370">
      <w:bodyDiv w:val="1"/>
      <w:marLeft w:val="0"/>
      <w:marRight w:val="0"/>
      <w:marTop w:val="0"/>
      <w:marBottom w:val="0"/>
      <w:divBdr>
        <w:top w:val="none" w:sz="0" w:space="0" w:color="auto"/>
        <w:left w:val="none" w:sz="0" w:space="0" w:color="auto"/>
        <w:bottom w:val="none" w:sz="0" w:space="0" w:color="auto"/>
        <w:right w:val="none" w:sz="0" w:space="0" w:color="auto"/>
      </w:divBdr>
    </w:div>
    <w:div w:id="1489322597">
      <w:bodyDiv w:val="1"/>
      <w:marLeft w:val="0"/>
      <w:marRight w:val="0"/>
      <w:marTop w:val="0"/>
      <w:marBottom w:val="0"/>
      <w:divBdr>
        <w:top w:val="none" w:sz="0" w:space="0" w:color="auto"/>
        <w:left w:val="none" w:sz="0" w:space="0" w:color="auto"/>
        <w:bottom w:val="none" w:sz="0" w:space="0" w:color="auto"/>
        <w:right w:val="none" w:sz="0" w:space="0" w:color="auto"/>
      </w:divBdr>
    </w:div>
    <w:div w:id="1514304073">
      <w:bodyDiv w:val="1"/>
      <w:marLeft w:val="0"/>
      <w:marRight w:val="0"/>
      <w:marTop w:val="0"/>
      <w:marBottom w:val="0"/>
      <w:divBdr>
        <w:top w:val="none" w:sz="0" w:space="0" w:color="auto"/>
        <w:left w:val="none" w:sz="0" w:space="0" w:color="auto"/>
        <w:bottom w:val="none" w:sz="0" w:space="0" w:color="auto"/>
        <w:right w:val="none" w:sz="0" w:space="0" w:color="auto"/>
      </w:divBdr>
    </w:div>
    <w:div w:id="1541432833">
      <w:bodyDiv w:val="1"/>
      <w:marLeft w:val="0"/>
      <w:marRight w:val="0"/>
      <w:marTop w:val="0"/>
      <w:marBottom w:val="0"/>
      <w:divBdr>
        <w:top w:val="none" w:sz="0" w:space="0" w:color="auto"/>
        <w:left w:val="none" w:sz="0" w:space="0" w:color="auto"/>
        <w:bottom w:val="none" w:sz="0" w:space="0" w:color="auto"/>
        <w:right w:val="none" w:sz="0" w:space="0" w:color="auto"/>
      </w:divBdr>
    </w:div>
    <w:div w:id="1547401825">
      <w:bodyDiv w:val="1"/>
      <w:marLeft w:val="0"/>
      <w:marRight w:val="0"/>
      <w:marTop w:val="0"/>
      <w:marBottom w:val="0"/>
      <w:divBdr>
        <w:top w:val="none" w:sz="0" w:space="0" w:color="auto"/>
        <w:left w:val="none" w:sz="0" w:space="0" w:color="auto"/>
        <w:bottom w:val="none" w:sz="0" w:space="0" w:color="auto"/>
        <w:right w:val="none" w:sz="0" w:space="0" w:color="auto"/>
      </w:divBdr>
    </w:div>
    <w:div w:id="1548641177">
      <w:bodyDiv w:val="1"/>
      <w:marLeft w:val="0"/>
      <w:marRight w:val="0"/>
      <w:marTop w:val="0"/>
      <w:marBottom w:val="0"/>
      <w:divBdr>
        <w:top w:val="none" w:sz="0" w:space="0" w:color="auto"/>
        <w:left w:val="none" w:sz="0" w:space="0" w:color="auto"/>
        <w:bottom w:val="none" w:sz="0" w:space="0" w:color="auto"/>
        <w:right w:val="none" w:sz="0" w:space="0" w:color="auto"/>
      </w:divBdr>
    </w:div>
    <w:div w:id="1584142571">
      <w:bodyDiv w:val="1"/>
      <w:marLeft w:val="0"/>
      <w:marRight w:val="0"/>
      <w:marTop w:val="0"/>
      <w:marBottom w:val="0"/>
      <w:divBdr>
        <w:top w:val="none" w:sz="0" w:space="0" w:color="auto"/>
        <w:left w:val="none" w:sz="0" w:space="0" w:color="auto"/>
        <w:bottom w:val="none" w:sz="0" w:space="0" w:color="auto"/>
        <w:right w:val="none" w:sz="0" w:space="0" w:color="auto"/>
      </w:divBdr>
    </w:div>
    <w:div w:id="1622809941">
      <w:bodyDiv w:val="1"/>
      <w:marLeft w:val="0"/>
      <w:marRight w:val="0"/>
      <w:marTop w:val="0"/>
      <w:marBottom w:val="0"/>
      <w:divBdr>
        <w:top w:val="none" w:sz="0" w:space="0" w:color="auto"/>
        <w:left w:val="none" w:sz="0" w:space="0" w:color="auto"/>
        <w:bottom w:val="none" w:sz="0" w:space="0" w:color="auto"/>
        <w:right w:val="none" w:sz="0" w:space="0" w:color="auto"/>
      </w:divBdr>
    </w:div>
    <w:div w:id="1635326593">
      <w:bodyDiv w:val="1"/>
      <w:marLeft w:val="0"/>
      <w:marRight w:val="0"/>
      <w:marTop w:val="0"/>
      <w:marBottom w:val="0"/>
      <w:divBdr>
        <w:top w:val="none" w:sz="0" w:space="0" w:color="auto"/>
        <w:left w:val="none" w:sz="0" w:space="0" w:color="auto"/>
        <w:bottom w:val="none" w:sz="0" w:space="0" w:color="auto"/>
        <w:right w:val="none" w:sz="0" w:space="0" w:color="auto"/>
      </w:divBdr>
    </w:div>
    <w:div w:id="1668366997">
      <w:bodyDiv w:val="1"/>
      <w:marLeft w:val="0"/>
      <w:marRight w:val="0"/>
      <w:marTop w:val="0"/>
      <w:marBottom w:val="0"/>
      <w:divBdr>
        <w:top w:val="none" w:sz="0" w:space="0" w:color="auto"/>
        <w:left w:val="none" w:sz="0" w:space="0" w:color="auto"/>
        <w:bottom w:val="none" w:sz="0" w:space="0" w:color="auto"/>
        <w:right w:val="none" w:sz="0" w:space="0" w:color="auto"/>
      </w:divBdr>
    </w:div>
    <w:div w:id="1669287386">
      <w:bodyDiv w:val="1"/>
      <w:marLeft w:val="0"/>
      <w:marRight w:val="0"/>
      <w:marTop w:val="0"/>
      <w:marBottom w:val="0"/>
      <w:divBdr>
        <w:top w:val="none" w:sz="0" w:space="0" w:color="auto"/>
        <w:left w:val="none" w:sz="0" w:space="0" w:color="auto"/>
        <w:bottom w:val="none" w:sz="0" w:space="0" w:color="auto"/>
        <w:right w:val="none" w:sz="0" w:space="0" w:color="auto"/>
      </w:divBdr>
    </w:div>
    <w:div w:id="1714428751">
      <w:bodyDiv w:val="1"/>
      <w:marLeft w:val="0"/>
      <w:marRight w:val="0"/>
      <w:marTop w:val="0"/>
      <w:marBottom w:val="0"/>
      <w:divBdr>
        <w:top w:val="none" w:sz="0" w:space="0" w:color="auto"/>
        <w:left w:val="none" w:sz="0" w:space="0" w:color="auto"/>
        <w:bottom w:val="none" w:sz="0" w:space="0" w:color="auto"/>
        <w:right w:val="none" w:sz="0" w:space="0" w:color="auto"/>
      </w:divBdr>
    </w:div>
    <w:div w:id="1730762557">
      <w:bodyDiv w:val="1"/>
      <w:marLeft w:val="0"/>
      <w:marRight w:val="0"/>
      <w:marTop w:val="0"/>
      <w:marBottom w:val="0"/>
      <w:divBdr>
        <w:top w:val="none" w:sz="0" w:space="0" w:color="auto"/>
        <w:left w:val="none" w:sz="0" w:space="0" w:color="auto"/>
        <w:bottom w:val="none" w:sz="0" w:space="0" w:color="auto"/>
        <w:right w:val="none" w:sz="0" w:space="0" w:color="auto"/>
      </w:divBdr>
    </w:div>
    <w:div w:id="1737360683">
      <w:bodyDiv w:val="1"/>
      <w:marLeft w:val="0"/>
      <w:marRight w:val="0"/>
      <w:marTop w:val="0"/>
      <w:marBottom w:val="0"/>
      <w:divBdr>
        <w:top w:val="none" w:sz="0" w:space="0" w:color="auto"/>
        <w:left w:val="none" w:sz="0" w:space="0" w:color="auto"/>
        <w:bottom w:val="none" w:sz="0" w:space="0" w:color="auto"/>
        <w:right w:val="none" w:sz="0" w:space="0" w:color="auto"/>
      </w:divBdr>
    </w:div>
    <w:div w:id="1762096953">
      <w:bodyDiv w:val="1"/>
      <w:marLeft w:val="0"/>
      <w:marRight w:val="0"/>
      <w:marTop w:val="0"/>
      <w:marBottom w:val="0"/>
      <w:divBdr>
        <w:top w:val="none" w:sz="0" w:space="0" w:color="auto"/>
        <w:left w:val="none" w:sz="0" w:space="0" w:color="auto"/>
        <w:bottom w:val="none" w:sz="0" w:space="0" w:color="auto"/>
        <w:right w:val="none" w:sz="0" w:space="0" w:color="auto"/>
      </w:divBdr>
    </w:div>
    <w:div w:id="1766881036">
      <w:bodyDiv w:val="1"/>
      <w:marLeft w:val="0"/>
      <w:marRight w:val="0"/>
      <w:marTop w:val="0"/>
      <w:marBottom w:val="0"/>
      <w:divBdr>
        <w:top w:val="none" w:sz="0" w:space="0" w:color="auto"/>
        <w:left w:val="none" w:sz="0" w:space="0" w:color="auto"/>
        <w:bottom w:val="none" w:sz="0" w:space="0" w:color="auto"/>
        <w:right w:val="none" w:sz="0" w:space="0" w:color="auto"/>
      </w:divBdr>
    </w:div>
    <w:div w:id="1769350831">
      <w:bodyDiv w:val="1"/>
      <w:marLeft w:val="0"/>
      <w:marRight w:val="0"/>
      <w:marTop w:val="0"/>
      <w:marBottom w:val="0"/>
      <w:divBdr>
        <w:top w:val="none" w:sz="0" w:space="0" w:color="auto"/>
        <w:left w:val="none" w:sz="0" w:space="0" w:color="auto"/>
        <w:bottom w:val="none" w:sz="0" w:space="0" w:color="auto"/>
        <w:right w:val="none" w:sz="0" w:space="0" w:color="auto"/>
      </w:divBdr>
    </w:div>
    <w:div w:id="1799564667">
      <w:bodyDiv w:val="1"/>
      <w:marLeft w:val="0"/>
      <w:marRight w:val="0"/>
      <w:marTop w:val="0"/>
      <w:marBottom w:val="0"/>
      <w:divBdr>
        <w:top w:val="none" w:sz="0" w:space="0" w:color="auto"/>
        <w:left w:val="none" w:sz="0" w:space="0" w:color="auto"/>
        <w:bottom w:val="none" w:sz="0" w:space="0" w:color="auto"/>
        <w:right w:val="none" w:sz="0" w:space="0" w:color="auto"/>
      </w:divBdr>
    </w:div>
    <w:div w:id="1806384620">
      <w:bodyDiv w:val="1"/>
      <w:marLeft w:val="0"/>
      <w:marRight w:val="0"/>
      <w:marTop w:val="0"/>
      <w:marBottom w:val="0"/>
      <w:divBdr>
        <w:top w:val="none" w:sz="0" w:space="0" w:color="auto"/>
        <w:left w:val="none" w:sz="0" w:space="0" w:color="auto"/>
        <w:bottom w:val="none" w:sz="0" w:space="0" w:color="auto"/>
        <w:right w:val="none" w:sz="0" w:space="0" w:color="auto"/>
      </w:divBdr>
    </w:div>
    <w:div w:id="1813988024">
      <w:bodyDiv w:val="1"/>
      <w:marLeft w:val="0"/>
      <w:marRight w:val="0"/>
      <w:marTop w:val="0"/>
      <w:marBottom w:val="0"/>
      <w:divBdr>
        <w:top w:val="none" w:sz="0" w:space="0" w:color="auto"/>
        <w:left w:val="none" w:sz="0" w:space="0" w:color="auto"/>
        <w:bottom w:val="none" w:sz="0" w:space="0" w:color="auto"/>
        <w:right w:val="none" w:sz="0" w:space="0" w:color="auto"/>
      </w:divBdr>
    </w:div>
    <w:div w:id="1859075266">
      <w:bodyDiv w:val="1"/>
      <w:marLeft w:val="0"/>
      <w:marRight w:val="0"/>
      <w:marTop w:val="0"/>
      <w:marBottom w:val="0"/>
      <w:divBdr>
        <w:top w:val="none" w:sz="0" w:space="0" w:color="auto"/>
        <w:left w:val="none" w:sz="0" w:space="0" w:color="auto"/>
        <w:bottom w:val="none" w:sz="0" w:space="0" w:color="auto"/>
        <w:right w:val="none" w:sz="0" w:space="0" w:color="auto"/>
      </w:divBdr>
    </w:div>
    <w:div w:id="1865972891">
      <w:bodyDiv w:val="1"/>
      <w:marLeft w:val="0"/>
      <w:marRight w:val="0"/>
      <w:marTop w:val="0"/>
      <w:marBottom w:val="0"/>
      <w:divBdr>
        <w:top w:val="none" w:sz="0" w:space="0" w:color="auto"/>
        <w:left w:val="none" w:sz="0" w:space="0" w:color="auto"/>
        <w:bottom w:val="none" w:sz="0" w:space="0" w:color="auto"/>
        <w:right w:val="none" w:sz="0" w:space="0" w:color="auto"/>
      </w:divBdr>
    </w:div>
    <w:div w:id="1867252460">
      <w:bodyDiv w:val="1"/>
      <w:marLeft w:val="0"/>
      <w:marRight w:val="0"/>
      <w:marTop w:val="0"/>
      <w:marBottom w:val="0"/>
      <w:divBdr>
        <w:top w:val="none" w:sz="0" w:space="0" w:color="auto"/>
        <w:left w:val="none" w:sz="0" w:space="0" w:color="auto"/>
        <w:bottom w:val="none" w:sz="0" w:space="0" w:color="auto"/>
        <w:right w:val="none" w:sz="0" w:space="0" w:color="auto"/>
      </w:divBdr>
    </w:div>
    <w:div w:id="1892646252">
      <w:bodyDiv w:val="1"/>
      <w:marLeft w:val="0"/>
      <w:marRight w:val="0"/>
      <w:marTop w:val="0"/>
      <w:marBottom w:val="0"/>
      <w:divBdr>
        <w:top w:val="none" w:sz="0" w:space="0" w:color="auto"/>
        <w:left w:val="none" w:sz="0" w:space="0" w:color="auto"/>
        <w:bottom w:val="none" w:sz="0" w:space="0" w:color="auto"/>
        <w:right w:val="none" w:sz="0" w:space="0" w:color="auto"/>
      </w:divBdr>
    </w:div>
    <w:div w:id="1899588404">
      <w:bodyDiv w:val="1"/>
      <w:marLeft w:val="0"/>
      <w:marRight w:val="0"/>
      <w:marTop w:val="0"/>
      <w:marBottom w:val="0"/>
      <w:divBdr>
        <w:top w:val="none" w:sz="0" w:space="0" w:color="auto"/>
        <w:left w:val="none" w:sz="0" w:space="0" w:color="auto"/>
        <w:bottom w:val="none" w:sz="0" w:space="0" w:color="auto"/>
        <w:right w:val="none" w:sz="0" w:space="0" w:color="auto"/>
      </w:divBdr>
    </w:div>
    <w:div w:id="1903444214">
      <w:bodyDiv w:val="1"/>
      <w:marLeft w:val="0"/>
      <w:marRight w:val="0"/>
      <w:marTop w:val="0"/>
      <w:marBottom w:val="0"/>
      <w:divBdr>
        <w:top w:val="none" w:sz="0" w:space="0" w:color="auto"/>
        <w:left w:val="none" w:sz="0" w:space="0" w:color="auto"/>
        <w:bottom w:val="none" w:sz="0" w:space="0" w:color="auto"/>
        <w:right w:val="none" w:sz="0" w:space="0" w:color="auto"/>
      </w:divBdr>
    </w:div>
    <w:div w:id="1906143975">
      <w:bodyDiv w:val="1"/>
      <w:marLeft w:val="0"/>
      <w:marRight w:val="0"/>
      <w:marTop w:val="0"/>
      <w:marBottom w:val="0"/>
      <w:divBdr>
        <w:top w:val="none" w:sz="0" w:space="0" w:color="auto"/>
        <w:left w:val="none" w:sz="0" w:space="0" w:color="auto"/>
        <w:bottom w:val="none" w:sz="0" w:space="0" w:color="auto"/>
        <w:right w:val="none" w:sz="0" w:space="0" w:color="auto"/>
      </w:divBdr>
    </w:div>
    <w:div w:id="1981106096">
      <w:bodyDiv w:val="1"/>
      <w:marLeft w:val="0"/>
      <w:marRight w:val="0"/>
      <w:marTop w:val="0"/>
      <w:marBottom w:val="0"/>
      <w:divBdr>
        <w:top w:val="none" w:sz="0" w:space="0" w:color="auto"/>
        <w:left w:val="none" w:sz="0" w:space="0" w:color="auto"/>
        <w:bottom w:val="none" w:sz="0" w:space="0" w:color="auto"/>
        <w:right w:val="none" w:sz="0" w:space="0" w:color="auto"/>
      </w:divBdr>
    </w:div>
    <w:div w:id="2001688218">
      <w:bodyDiv w:val="1"/>
      <w:marLeft w:val="0"/>
      <w:marRight w:val="0"/>
      <w:marTop w:val="0"/>
      <w:marBottom w:val="0"/>
      <w:divBdr>
        <w:top w:val="none" w:sz="0" w:space="0" w:color="auto"/>
        <w:left w:val="none" w:sz="0" w:space="0" w:color="auto"/>
        <w:bottom w:val="none" w:sz="0" w:space="0" w:color="auto"/>
        <w:right w:val="none" w:sz="0" w:space="0" w:color="auto"/>
      </w:divBdr>
    </w:div>
    <w:div w:id="2003730109">
      <w:bodyDiv w:val="1"/>
      <w:marLeft w:val="0"/>
      <w:marRight w:val="0"/>
      <w:marTop w:val="0"/>
      <w:marBottom w:val="0"/>
      <w:divBdr>
        <w:top w:val="none" w:sz="0" w:space="0" w:color="auto"/>
        <w:left w:val="none" w:sz="0" w:space="0" w:color="auto"/>
        <w:bottom w:val="none" w:sz="0" w:space="0" w:color="auto"/>
        <w:right w:val="none" w:sz="0" w:space="0" w:color="auto"/>
      </w:divBdr>
    </w:div>
    <w:div w:id="2011063319">
      <w:bodyDiv w:val="1"/>
      <w:marLeft w:val="0"/>
      <w:marRight w:val="0"/>
      <w:marTop w:val="0"/>
      <w:marBottom w:val="0"/>
      <w:divBdr>
        <w:top w:val="none" w:sz="0" w:space="0" w:color="auto"/>
        <w:left w:val="none" w:sz="0" w:space="0" w:color="auto"/>
        <w:bottom w:val="none" w:sz="0" w:space="0" w:color="auto"/>
        <w:right w:val="none" w:sz="0" w:space="0" w:color="auto"/>
      </w:divBdr>
    </w:div>
    <w:div w:id="2015916720">
      <w:bodyDiv w:val="1"/>
      <w:marLeft w:val="0"/>
      <w:marRight w:val="0"/>
      <w:marTop w:val="0"/>
      <w:marBottom w:val="0"/>
      <w:divBdr>
        <w:top w:val="none" w:sz="0" w:space="0" w:color="auto"/>
        <w:left w:val="none" w:sz="0" w:space="0" w:color="auto"/>
        <w:bottom w:val="none" w:sz="0" w:space="0" w:color="auto"/>
        <w:right w:val="none" w:sz="0" w:space="0" w:color="auto"/>
      </w:divBdr>
    </w:div>
    <w:div w:id="2018997427">
      <w:bodyDiv w:val="1"/>
      <w:marLeft w:val="0"/>
      <w:marRight w:val="0"/>
      <w:marTop w:val="0"/>
      <w:marBottom w:val="0"/>
      <w:divBdr>
        <w:top w:val="none" w:sz="0" w:space="0" w:color="auto"/>
        <w:left w:val="none" w:sz="0" w:space="0" w:color="auto"/>
        <w:bottom w:val="none" w:sz="0" w:space="0" w:color="auto"/>
        <w:right w:val="none" w:sz="0" w:space="0" w:color="auto"/>
      </w:divBdr>
    </w:div>
    <w:div w:id="2045015910">
      <w:bodyDiv w:val="1"/>
      <w:marLeft w:val="0"/>
      <w:marRight w:val="0"/>
      <w:marTop w:val="0"/>
      <w:marBottom w:val="0"/>
      <w:divBdr>
        <w:top w:val="none" w:sz="0" w:space="0" w:color="auto"/>
        <w:left w:val="none" w:sz="0" w:space="0" w:color="auto"/>
        <w:bottom w:val="none" w:sz="0" w:space="0" w:color="auto"/>
        <w:right w:val="none" w:sz="0" w:space="0" w:color="auto"/>
      </w:divBdr>
    </w:div>
    <w:div w:id="2049336359">
      <w:bodyDiv w:val="1"/>
      <w:marLeft w:val="0"/>
      <w:marRight w:val="0"/>
      <w:marTop w:val="0"/>
      <w:marBottom w:val="0"/>
      <w:divBdr>
        <w:top w:val="none" w:sz="0" w:space="0" w:color="auto"/>
        <w:left w:val="none" w:sz="0" w:space="0" w:color="auto"/>
        <w:bottom w:val="none" w:sz="0" w:space="0" w:color="auto"/>
        <w:right w:val="none" w:sz="0" w:space="0" w:color="auto"/>
      </w:divBdr>
    </w:div>
    <w:div w:id="2084059373">
      <w:bodyDiv w:val="1"/>
      <w:marLeft w:val="0"/>
      <w:marRight w:val="0"/>
      <w:marTop w:val="0"/>
      <w:marBottom w:val="0"/>
      <w:divBdr>
        <w:top w:val="none" w:sz="0" w:space="0" w:color="auto"/>
        <w:left w:val="none" w:sz="0" w:space="0" w:color="auto"/>
        <w:bottom w:val="none" w:sz="0" w:space="0" w:color="auto"/>
        <w:right w:val="none" w:sz="0" w:space="0" w:color="auto"/>
      </w:divBdr>
    </w:div>
    <w:div w:id="20904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ci.com/documents/10199/8d97d244-4685-4200-a24c-3e2942e3ade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skassure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333CA707E0445A9A7E7C8569657E1" ma:contentTypeVersion="19" ma:contentTypeDescription="Create a new document." ma:contentTypeScope="" ma:versionID="66f82aa42a59343e0a0e837c590c11d6">
  <xsd:schema xmlns:xsd="http://www.w3.org/2001/XMLSchema" xmlns:xs="http://www.w3.org/2001/XMLSchema" xmlns:p="http://schemas.microsoft.com/office/2006/metadata/properties" xmlns:ns2="f1d295a6-831d-4fdd-b18b-fd30f88383b1" xmlns:ns3="90fe97d3-5667-4aaa-9dea-ec7519e3d59d" targetNamespace="http://schemas.microsoft.com/office/2006/metadata/properties" ma:root="true" ma:fieldsID="569c069bdb32551cf8e15e3b52c21357" ns2:_="" ns3:_="">
    <xsd:import namespace="f1d295a6-831d-4fdd-b18b-fd30f88383b1"/>
    <xsd:import namespace="90fe97d3-5667-4aaa-9dea-ec7519e3d59d"/>
    <xsd:element name="properties">
      <xsd:complexType>
        <xsd:sequence>
          <xsd:element name="documentManagement">
            <xsd:complexType>
              <xsd:all>
                <xsd:element ref="ns2:SharedWithUsers"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AutoKeyPoints" minOccurs="0"/>
                <xsd:element ref="ns3:MediaServiceKeyPoint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295a6-831d-4fdd-b18b-fd30f88383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d5a5ee8e-1af0-4de6-b7f6-1ce303a1fdbc}" ma:internalName="TaxCatchAll" ma:showField="CatchAllData" ma:web="f1d295a6-831d-4fdd-b18b-fd30f88383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fe97d3-5667-4aaa-9dea-ec7519e3d59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5c33e6-74e9-438c-a6bb-7a4a0bc86806" ma:termSetId="09814cd3-568e-fe90-9814-8d621ff8fb84" ma:anchorId="fba54fb3-c3e1-fe81-a776-ca4b69148c4d" ma:open="true" ma:isKeyword="false">
      <xsd:complexType>
        <xsd:sequence>
          <xsd:element ref="pc:Terms" minOccurs="0" maxOccurs="1"/>
        </xsd:sequence>
      </xsd:complex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d295a6-831d-4fdd-b18b-fd30f88383b1" xsi:nil="true"/>
    <lcf76f155ced4ddcb4097134ff3c332f xmlns="90fe97d3-5667-4aaa-9dea-ec7519e3d5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F99DC-C9FE-461B-9170-1BFE4D331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295a6-831d-4fdd-b18b-fd30f88383b1"/>
    <ds:schemaRef ds:uri="90fe97d3-5667-4aaa-9dea-ec7519e3d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BD6DC-1E9E-4ACD-90F8-BDA102713D82}">
  <ds:schemaRefs>
    <ds:schemaRef ds:uri="http://purl.org/dc/terms/"/>
    <ds:schemaRef ds:uri="f1d295a6-831d-4fdd-b18b-fd30f88383b1"/>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0fe97d3-5667-4aaa-9dea-ec7519e3d59d"/>
  </ds:schemaRefs>
</ds:datastoreItem>
</file>

<file path=customXml/itemProps3.xml><?xml version="1.0" encoding="utf-8"?>
<ds:datastoreItem xmlns:ds="http://schemas.openxmlformats.org/officeDocument/2006/customXml" ds:itemID="{CD1EE722-62B0-4D12-81BD-7B3988F29229}">
  <ds:schemaRefs>
    <ds:schemaRef ds:uri="http://schemas.openxmlformats.org/officeDocument/2006/bibliography"/>
  </ds:schemaRefs>
</ds:datastoreItem>
</file>

<file path=customXml/itemProps4.xml><?xml version="1.0" encoding="utf-8"?>
<ds:datastoreItem xmlns:ds="http://schemas.openxmlformats.org/officeDocument/2006/customXml" ds:itemID="{344A3D3F-263D-4CDB-996B-47A37FE7F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Intelligence Limited</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Woodhams</dc:creator>
  <cp:lastModifiedBy>Laura Dowdeswell</cp:lastModifiedBy>
  <cp:revision>6</cp:revision>
  <cp:lastPrinted>2024-01-03T09:55:00Z</cp:lastPrinted>
  <dcterms:created xsi:type="dcterms:W3CDTF">2024-01-05T14:32:00Z</dcterms:created>
  <dcterms:modified xsi:type="dcterms:W3CDTF">2024-01-05T14:34:00Z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0x0101009CE333CA707E0445A9A7E7C8569657E1</vt:lpwstr>
  </property>
  <property fmtid="{D5CDD505-2E9C-101B-9397-08002B2CF9AE}" pid="3" name="MediaServiceImageTags">
    <vt:lpwstr/>
  </property>
</Properties>
</file>